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762886" w14:textId="77777777" w:rsidR="001A437D" w:rsidRDefault="001A437D" w:rsidP="00512E95">
      <w:pPr>
        <w:jc w:val="center"/>
        <w:rPr>
          <w:rFonts w:ascii="Cambria" w:hAnsi="Cambria"/>
          <w:b/>
          <w:sz w:val="52"/>
          <w:szCs w:val="52"/>
        </w:rPr>
      </w:pPr>
    </w:p>
    <w:p w14:paraId="2B264858" w14:textId="77777777" w:rsidR="00512E95" w:rsidRPr="00517AF1" w:rsidRDefault="00512E95" w:rsidP="00512E95">
      <w:pPr>
        <w:jc w:val="center"/>
        <w:rPr>
          <w:rFonts w:ascii="Cambria" w:hAnsi="Cambria"/>
          <w:b/>
          <w:sz w:val="52"/>
          <w:szCs w:val="52"/>
        </w:rPr>
      </w:pPr>
      <w:r w:rsidRPr="00517AF1">
        <w:rPr>
          <w:rFonts w:ascii="Cambria" w:hAnsi="Cambria"/>
          <w:b/>
          <w:sz w:val="52"/>
          <w:szCs w:val="52"/>
        </w:rPr>
        <w:t>Mesurer le patrimoine immatériel : vers une gestion axée sur les résultats</w:t>
      </w:r>
    </w:p>
    <w:p w14:paraId="5DC259D6" w14:textId="77777777" w:rsidR="00A81684" w:rsidRPr="00517AF1" w:rsidRDefault="00A81684" w:rsidP="00A81684">
      <w:pPr>
        <w:jc w:val="center"/>
        <w:rPr>
          <w:rFonts w:ascii="Cambria" w:hAnsi="Cambria"/>
          <w:b/>
          <w:sz w:val="28"/>
          <w:szCs w:val="28"/>
        </w:rPr>
      </w:pPr>
    </w:p>
    <w:p w14:paraId="12559CE6" w14:textId="4ECD5F6C" w:rsidR="008F4E0B" w:rsidRPr="00517AF1" w:rsidRDefault="00B2485F" w:rsidP="00A81684">
      <w:pPr>
        <w:jc w:val="center"/>
        <w:rPr>
          <w:rFonts w:ascii="Cambria" w:hAnsi="Cambria"/>
          <w:b/>
          <w:sz w:val="28"/>
          <w:szCs w:val="28"/>
        </w:rPr>
      </w:pPr>
      <w:r w:rsidRPr="00517AF1">
        <w:rPr>
          <w:rFonts w:ascii="Cambria" w:hAnsi="Cambria"/>
          <w:b/>
          <w:sz w:val="28"/>
          <w:szCs w:val="28"/>
        </w:rPr>
        <w:t>p</w:t>
      </w:r>
      <w:r w:rsidR="00A81684" w:rsidRPr="00517AF1">
        <w:rPr>
          <w:rFonts w:ascii="Cambria" w:hAnsi="Cambria"/>
          <w:b/>
          <w:sz w:val="28"/>
          <w:szCs w:val="28"/>
        </w:rPr>
        <w:t>ar Antoine Gauthier, directeur général du Conseil québécois du patrimoine vivant</w:t>
      </w:r>
    </w:p>
    <w:p w14:paraId="6A5FD7FE" w14:textId="77777777" w:rsidR="00A175D4" w:rsidRPr="00517AF1" w:rsidRDefault="00A175D4" w:rsidP="009F0202">
      <w:pPr>
        <w:jc w:val="both"/>
        <w:rPr>
          <w:rFonts w:ascii="Cambria" w:hAnsi="Cambria"/>
        </w:rPr>
      </w:pPr>
    </w:p>
    <w:p w14:paraId="72726743" w14:textId="77777777" w:rsidR="00A62725" w:rsidRDefault="00A62725" w:rsidP="009F0202">
      <w:pPr>
        <w:jc w:val="both"/>
        <w:rPr>
          <w:rFonts w:ascii="Cambria" w:hAnsi="Cambria"/>
        </w:rPr>
      </w:pPr>
    </w:p>
    <w:p w14:paraId="5BAE6E80" w14:textId="77777777" w:rsidR="001A437D" w:rsidRPr="00517AF1" w:rsidRDefault="001A437D" w:rsidP="009F0202">
      <w:pPr>
        <w:jc w:val="both"/>
        <w:rPr>
          <w:rFonts w:ascii="Cambria" w:hAnsi="Cambria"/>
        </w:rPr>
      </w:pPr>
    </w:p>
    <w:p w14:paraId="56428C1F" w14:textId="1BF500C3" w:rsidR="009416B5" w:rsidRPr="00517AF1" w:rsidRDefault="007D187A" w:rsidP="00517AF1">
      <w:pPr>
        <w:jc w:val="both"/>
        <w:rPr>
          <w:rFonts w:ascii="Cambria" w:hAnsi="Cambria"/>
        </w:rPr>
      </w:pPr>
      <w:r w:rsidRPr="00517AF1">
        <w:rPr>
          <w:rFonts w:ascii="Cambria" w:hAnsi="Cambria"/>
        </w:rPr>
        <w:t>Si l’on est ici aujourd’hui</w:t>
      </w:r>
      <w:r w:rsidR="00FD4D45" w:rsidRPr="00517AF1">
        <w:rPr>
          <w:rFonts w:ascii="Cambria" w:hAnsi="Cambria"/>
        </w:rPr>
        <w:t xml:space="preserve"> dans cette salle</w:t>
      </w:r>
      <w:r w:rsidRPr="00517AF1">
        <w:rPr>
          <w:rFonts w:ascii="Cambria" w:hAnsi="Cambria"/>
        </w:rPr>
        <w:t>, c’est parce que divers type</w:t>
      </w:r>
      <w:r w:rsidR="00AA24CA" w:rsidRPr="00517AF1">
        <w:rPr>
          <w:rFonts w:ascii="Cambria" w:hAnsi="Cambria"/>
        </w:rPr>
        <w:t>s</w:t>
      </w:r>
      <w:r w:rsidRPr="00517AF1">
        <w:rPr>
          <w:rFonts w:ascii="Cambria" w:hAnsi="Cambria"/>
        </w:rPr>
        <w:t xml:space="preserve"> d’activités transmises le plus souvent </w:t>
      </w:r>
      <w:r w:rsidR="0037357A" w:rsidRPr="00517AF1">
        <w:rPr>
          <w:rFonts w:ascii="Cambria" w:hAnsi="Cambria"/>
        </w:rPr>
        <w:t>de façon orale ou par mimétisme</w:t>
      </w:r>
      <w:r w:rsidR="0022067C" w:rsidRPr="00517AF1">
        <w:rPr>
          <w:rFonts w:ascii="Cambria" w:hAnsi="Cambria"/>
        </w:rPr>
        <w:t xml:space="preserve"> connaissent un déclin précipité</w:t>
      </w:r>
      <w:r w:rsidR="002549F9" w:rsidRPr="00517AF1">
        <w:rPr>
          <w:rFonts w:ascii="Cambria" w:hAnsi="Cambria"/>
        </w:rPr>
        <w:t xml:space="preserve"> à travers le monde</w:t>
      </w:r>
      <w:r w:rsidR="0022067C" w:rsidRPr="00517AF1">
        <w:rPr>
          <w:rFonts w:ascii="Cambria" w:hAnsi="Cambria"/>
        </w:rPr>
        <w:t xml:space="preserve">, de sorte </w:t>
      </w:r>
      <w:r w:rsidR="00E87FBB" w:rsidRPr="00517AF1">
        <w:rPr>
          <w:rFonts w:ascii="Cambria" w:hAnsi="Cambria"/>
        </w:rPr>
        <w:t>qu’on a songé à</w:t>
      </w:r>
      <w:r w:rsidRPr="00517AF1">
        <w:rPr>
          <w:rFonts w:ascii="Cambria" w:hAnsi="Cambria"/>
        </w:rPr>
        <w:t xml:space="preserve"> </w:t>
      </w:r>
      <w:r w:rsidR="00E87FBB" w:rsidRPr="00517AF1">
        <w:rPr>
          <w:rFonts w:ascii="Cambria" w:hAnsi="Cambria"/>
        </w:rPr>
        <w:t>produire</w:t>
      </w:r>
      <w:r w:rsidRPr="00517AF1">
        <w:rPr>
          <w:rFonts w:ascii="Cambria" w:hAnsi="Cambria"/>
        </w:rPr>
        <w:t xml:space="preserve"> des instrument</w:t>
      </w:r>
      <w:r w:rsidR="001967AB" w:rsidRPr="00517AF1">
        <w:rPr>
          <w:rFonts w:ascii="Cambria" w:hAnsi="Cambria"/>
        </w:rPr>
        <w:t>s</w:t>
      </w:r>
      <w:r w:rsidRPr="00517AF1">
        <w:rPr>
          <w:rFonts w:ascii="Cambria" w:hAnsi="Cambria"/>
        </w:rPr>
        <w:t xml:space="preserve"> juridiques pour inverser </w:t>
      </w:r>
      <w:r w:rsidR="001E7623" w:rsidRPr="00517AF1">
        <w:rPr>
          <w:rFonts w:ascii="Cambria" w:hAnsi="Cambria"/>
        </w:rPr>
        <w:t>la</w:t>
      </w:r>
      <w:r w:rsidRPr="00517AF1">
        <w:rPr>
          <w:rFonts w:ascii="Cambria" w:hAnsi="Cambria"/>
        </w:rPr>
        <w:t xml:space="preserve"> tendance. C’est </w:t>
      </w:r>
      <w:r w:rsidR="004C76E9" w:rsidRPr="00517AF1">
        <w:rPr>
          <w:rFonts w:ascii="Cambria" w:hAnsi="Cambria"/>
        </w:rPr>
        <w:t xml:space="preserve">donc </w:t>
      </w:r>
      <w:r w:rsidR="0022067C" w:rsidRPr="00517AF1">
        <w:rPr>
          <w:rFonts w:ascii="Cambria" w:hAnsi="Cambria"/>
        </w:rPr>
        <w:t xml:space="preserve">aussi </w:t>
      </w:r>
      <w:r w:rsidR="00E8496C" w:rsidRPr="00517AF1">
        <w:rPr>
          <w:rFonts w:ascii="Cambria" w:hAnsi="Cambria"/>
        </w:rPr>
        <w:t xml:space="preserve">en partie </w:t>
      </w:r>
      <w:r w:rsidR="004C76E9" w:rsidRPr="00517AF1">
        <w:rPr>
          <w:rFonts w:ascii="Cambria" w:hAnsi="Cambria"/>
        </w:rPr>
        <w:t xml:space="preserve">parce </w:t>
      </w:r>
      <w:r w:rsidR="001967AB" w:rsidRPr="00517AF1">
        <w:rPr>
          <w:rFonts w:ascii="Cambria" w:hAnsi="Cambria"/>
        </w:rPr>
        <w:t xml:space="preserve">que </w:t>
      </w:r>
      <w:r w:rsidR="004C76E9" w:rsidRPr="00517AF1">
        <w:rPr>
          <w:rFonts w:ascii="Cambria" w:hAnsi="Cambria"/>
        </w:rPr>
        <w:t xml:space="preserve">les institutions </w:t>
      </w:r>
      <w:r w:rsidR="00E8496C" w:rsidRPr="00517AF1">
        <w:rPr>
          <w:rFonts w:ascii="Cambria" w:hAnsi="Cambria"/>
        </w:rPr>
        <w:t xml:space="preserve">qui </w:t>
      </w:r>
      <w:r w:rsidR="001E7623" w:rsidRPr="00517AF1">
        <w:rPr>
          <w:rFonts w:ascii="Cambria" w:hAnsi="Cambria"/>
        </w:rPr>
        <w:t>ont vu le jour</w:t>
      </w:r>
      <w:r w:rsidR="004C76E9" w:rsidRPr="00517AF1">
        <w:rPr>
          <w:rFonts w:ascii="Cambria" w:hAnsi="Cambria"/>
        </w:rPr>
        <w:t xml:space="preserve"> </w:t>
      </w:r>
      <w:r w:rsidR="00E8496C" w:rsidRPr="00517AF1">
        <w:rPr>
          <w:rFonts w:ascii="Cambria" w:hAnsi="Cambria"/>
        </w:rPr>
        <w:t xml:space="preserve">dans les dernières décennies </w:t>
      </w:r>
      <w:r w:rsidR="004C76E9" w:rsidRPr="00517AF1">
        <w:rPr>
          <w:rFonts w:ascii="Cambria" w:hAnsi="Cambria"/>
        </w:rPr>
        <w:t>n’ont pas aménagé suffisamment d’espace à ces pratiques</w:t>
      </w:r>
      <w:r w:rsidR="00FF0846" w:rsidRPr="00517AF1">
        <w:rPr>
          <w:rFonts w:ascii="Cambria" w:hAnsi="Cambria"/>
        </w:rPr>
        <w:t xml:space="preserve"> traditionnelles</w:t>
      </w:r>
      <w:r w:rsidR="004C76E9" w:rsidRPr="00517AF1">
        <w:rPr>
          <w:rFonts w:ascii="Cambria" w:hAnsi="Cambria"/>
        </w:rPr>
        <w:t xml:space="preserve">, </w:t>
      </w:r>
      <w:r w:rsidR="00E8496C" w:rsidRPr="00517AF1">
        <w:rPr>
          <w:rFonts w:ascii="Cambria" w:hAnsi="Cambria"/>
        </w:rPr>
        <w:t xml:space="preserve">ou </w:t>
      </w:r>
      <w:r w:rsidR="00AA24CA" w:rsidRPr="00517AF1">
        <w:rPr>
          <w:rFonts w:ascii="Cambria" w:hAnsi="Cambria"/>
        </w:rPr>
        <w:t xml:space="preserve">qu’elles </w:t>
      </w:r>
      <w:r w:rsidR="00E8496C" w:rsidRPr="00517AF1">
        <w:rPr>
          <w:rFonts w:ascii="Cambria" w:hAnsi="Cambria"/>
        </w:rPr>
        <w:t xml:space="preserve">les ont totalement occultées, </w:t>
      </w:r>
      <w:r w:rsidR="004C76E9" w:rsidRPr="00517AF1">
        <w:rPr>
          <w:rFonts w:ascii="Cambria" w:hAnsi="Cambria"/>
        </w:rPr>
        <w:t>ce qui a contribué à créer une forme de concurrence</w:t>
      </w:r>
      <w:r w:rsidR="000A79AF" w:rsidRPr="00517AF1">
        <w:rPr>
          <w:rFonts w:ascii="Cambria" w:hAnsi="Cambria"/>
        </w:rPr>
        <w:t xml:space="preserve"> parfois</w:t>
      </w:r>
      <w:r w:rsidR="004C76E9" w:rsidRPr="00517AF1">
        <w:rPr>
          <w:rFonts w:ascii="Cambria" w:hAnsi="Cambria"/>
        </w:rPr>
        <w:t xml:space="preserve"> déloyale envers </w:t>
      </w:r>
      <w:r w:rsidR="00E87FBB" w:rsidRPr="00517AF1">
        <w:rPr>
          <w:rFonts w:ascii="Cambria" w:hAnsi="Cambria"/>
        </w:rPr>
        <w:t>certaines</w:t>
      </w:r>
      <w:r w:rsidR="004C76E9" w:rsidRPr="00517AF1">
        <w:rPr>
          <w:rFonts w:ascii="Cambria" w:hAnsi="Cambria"/>
        </w:rPr>
        <w:t xml:space="preserve"> disciplines</w:t>
      </w:r>
      <w:r w:rsidR="00E8496C" w:rsidRPr="00517AF1">
        <w:rPr>
          <w:rFonts w:ascii="Cambria" w:hAnsi="Cambria"/>
        </w:rPr>
        <w:t xml:space="preserve">. </w:t>
      </w:r>
      <w:r w:rsidR="00FC0C52" w:rsidRPr="00517AF1">
        <w:rPr>
          <w:rFonts w:ascii="Cambria" w:hAnsi="Cambria"/>
        </w:rPr>
        <w:t>Nous sommes</w:t>
      </w:r>
      <w:r w:rsidR="00193260" w:rsidRPr="00517AF1">
        <w:rPr>
          <w:rFonts w:ascii="Cambria" w:hAnsi="Cambria"/>
        </w:rPr>
        <w:t xml:space="preserve"> </w:t>
      </w:r>
      <w:r w:rsidR="0022067C" w:rsidRPr="00517AF1">
        <w:rPr>
          <w:rFonts w:ascii="Cambria" w:hAnsi="Cambria"/>
        </w:rPr>
        <w:t>également</w:t>
      </w:r>
      <w:r w:rsidR="00193260" w:rsidRPr="00517AF1">
        <w:rPr>
          <w:rFonts w:ascii="Cambria" w:hAnsi="Cambria"/>
        </w:rPr>
        <w:t xml:space="preserve"> </w:t>
      </w:r>
      <w:r w:rsidR="00FC0C52" w:rsidRPr="00517AF1">
        <w:rPr>
          <w:rFonts w:ascii="Cambria" w:hAnsi="Cambria"/>
        </w:rPr>
        <w:t xml:space="preserve">ici </w:t>
      </w:r>
      <w:r w:rsidR="00193260" w:rsidRPr="00517AF1">
        <w:rPr>
          <w:rFonts w:ascii="Cambria" w:hAnsi="Cambria"/>
        </w:rPr>
        <w:t>parce que les pratiques concernées sont au cœur de l’idée de diversité culturelle</w:t>
      </w:r>
      <w:r w:rsidR="00162003" w:rsidRPr="00517AF1">
        <w:rPr>
          <w:rFonts w:ascii="Cambria" w:hAnsi="Cambria"/>
        </w:rPr>
        <w:t>.</w:t>
      </w:r>
    </w:p>
    <w:p w14:paraId="42840A54" w14:textId="77777777" w:rsidR="00431661" w:rsidRPr="00517AF1" w:rsidRDefault="00431661" w:rsidP="00517AF1">
      <w:pPr>
        <w:jc w:val="both"/>
        <w:rPr>
          <w:rFonts w:ascii="Cambria" w:hAnsi="Cambria"/>
        </w:rPr>
      </w:pPr>
    </w:p>
    <w:p w14:paraId="2D6C23DB" w14:textId="25B32104" w:rsidR="00AA24CA" w:rsidRPr="00517AF1" w:rsidRDefault="00716D7B" w:rsidP="00517AF1">
      <w:pPr>
        <w:jc w:val="both"/>
        <w:rPr>
          <w:rFonts w:ascii="Cambria" w:hAnsi="Cambria"/>
        </w:rPr>
      </w:pPr>
      <w:r w:rsidRPr="00517AF1">
        <w:rPr>
          <w:rFonts w:ascii="Cambria" w:hAnsi="Cambria"/>
        </w:rPr>
        <w:t xml:space="preserve">C’est donc </w:t>
      </w:r>
      <w:r w:rsidR="00431661" w:rsidRPr="00517AF1">
        <w:rPr>
          <w:rFonts w:ascii="Cambria" w:hAnsi="Cambria"/>
        </w:rPr>
        <w:t xml:space="preserve">une certaine forme de problème, d’iniquité ou de préjugé qui est </w:t>
      </w:r>
      <w:r w:rsidR="006710C7" w:rsidRPr="00517AF1">
        <w:rPr>
          <w:rFonts w:ascii="Cambria" w:hAnsi="Cambria"/>
        </w:rPr>
        <w:t xml:space="preserve">à </w:t>
      </w:r>
      <w:r w:rsidR="00D44390" w:rsidRPr="00517AF1">
        <w:rPr>
          <w:rFonts w:ascii="Cambria" w:hAnsi="Cambria"/>
        </w:rPr>
        <w:t>la source du</w:t>
      </w:r>
      <w:r w:rsidR="00431661" w:rsidRPr="00517AF1">
        <w:rPr>
          <w:rFonts w:ascii="Cambria" w:hAnsi="Cambria"/>
        </w:rPr>
        <w:t xml:space="preserve"> rassemblement</w:t>
      </w:r>
      <w:r w:rsidR="00D44390" w:rsidRPr="00517AF1">
        <w:rPr>
          <w:rFonts w:ascii="Cambria" w:hAnsi="Cambria"/>
        </w:rPr>
        <w:t xml:space="preserve"> d’aujourd’hui</w:t>
      </w:r>
      <w:r w:rsidR="00431661" w:rsidRPr="00517AF1">
        <w:rPr>
          <w:rFonts w:ascii="Cambria" w:hAnsi="Cambria"/>
        </w:rPr>
        <w:t xml:space="preserve">. </w:t>
      </w:r>
      <w:r w:rsidR="001E34ED" w:rsidRPr="00517AF1">
        <w:rPr>
          <w:rFonts w:ascii="Cambria" w:hAnsi="Cambria"/>
        </w:rPr>
        <w:t>C</w:t>
      </w:r>
      <w:r w:rsidR="008C4DF8" w:rsidRPr="00517AF1">
        <w:rPr>
          <w:rFonts w:ascii="Cambria" w:hAnsi="Cambria"/>
        </w:rPr>
        <w:t xml:space="preserve">e n’est </w:t>
      </w:r>
      <w:r w:rsidR="00543C73" w:rsidRPr="00517AF1">
        <w:rPr>
          <w:rFonts w:ascii="Cambria" w:hAnsi="Cambria"/>
        </w:rPr>
        <w:t xml:space="preserve">bien sûr </w:t>
      </w:r>
      <w:r w:rsidR="008C4DF8" w:rsidRPr="00517AF1">
        <w:rPr>
          <w:rFonts w:ascii="Cambria" w:hAnsi="Cambria"/>
        </w:rPr>
        <w:t>pas le cas de tous les élém</w:t>
      </w:r>
      <w:r w:rsidR="00543C73" w:rsidRPr="00517AF1">
        <w:rPr>
          <w:rFonts w:ascii="Cambria" w:hAnsi="Cambria"/>
        </w:rPr>
        <w:t xml:space="preserve">ents </w:t>
      </w:r>
      <w:r w:rsidRPr="00517AF1">
        <w:rPr>
          <w:rFonts w:ascii="Cambria" w:hAnsi="Cambria"/>
        </w:rPr>
        <w:t xml:space="preserve">culturels </w:t>
      </w:r>
      <w:r w:rsidR="00543C73" w:rsidRPr="00517AF1">
        <w:rPr>
          <w:rFonts w:ascii="Cambria" w:hAnsi="Cambria"/>
        </w:rPr>
        <w:t xml:space="preserve">potentiellement concernés, </w:t>
      </w:r>
      <w:r w:rsidR="001E34ED" w:rsidRPr="00517AF1">
        <w:rPr>
          <w:rFonts w:ascii="Cambria" w:hAnsi="Cambria"/>
        </w:rPr>
        <w:t xml:space="preserve">mais </w:t>
      </w:r>
      <w:r w:rsidR="00543C73" w:rsidRPr="00517AF1">
        <w:rPr>
          <w:rFonts w:ascii="Cambria" w:hAnsi="Cambria"/>
        </w:rPr>
        <w:t xml:space="preserve">il en va ainsi d’une masse critique suffisante pour qu’on ait jugé bon d’employer le terme </w:t>
      </w:r>
      <w:r w:rsidR="001E34ED" w:rsidRPr="00517AF1">
        <w:rPr>
          <w:rFonts w:ascii="Cambria" w:hAnsi="Cambria"/>
        </w:rPr>
        <w:t>« </w:t>
      </w:r>
      <w:r w:rsidR="00543C73" w:rsidRPr="00517AF1">
        <w:rPr>
          <w:rFonts w:ascii="Cambria" w:hAnsi="Cambria"/>
        </w:rPr>
        <w:t>sauvegarde</w:t>
      </w:r>
      <w:r w:rsidR="001E34ED" w:rsidRPr="00517AF1">
        <w:rPr>
          <w:rFonts w:ascii="Cambria" w:hAnsi="Cambria"/>
        </w:rPr>
        <w:t> »</w:t>
      </w:r>
      <w:r w:rsidR="00543C73" w:rsidRPr="00517AF1">
        <w:rPr>
          <w:rFonts w:ascii="Cambria" w:hAnsi="Cambria"/>
        </w:rPr>
        <w:t xml:space="preserve"> à l’UNESCO</w:t>
      </w:r>
      <w:r w:rsidR="005805F3" w:rsidRPr="00517AF1">
        <w:rPr>
          <w:rFonts w:ascii="Cambria" w:hAnsi="Cambria"/>
        </w:rPr>
        <w:t xml:space="preserve"> –</w:t>
      </w:r>
      <w:r w:rsidR="00604F41" w:rsidRPr="00517AF1">
        <w:rPr>
          <w:rFonts w:ascii="Cambria" w:hAnsi="Cambria"/>
        </w:rPr>
        <w:t xml:space="preserve"> </w:t>
      </w:r>
      <w:r w:rsidR="001E34ED" w:rsidRPr="00517AF1">
        <w:rPr>
          <w:rFonts w:ascii="Cambria" w:hAnsi="Cambria"/>
        </w:rPr>
        <w:t xml:space="preserve">terme </w:t>
      </w:r>
      <w:r w:rsidR="00604F41" w:rsidRPr="00517AF1">
        <w:rPr>
          <w:rFonts w:ascii="Cambria" w:hAnsi="Cambria"/>
        </w:rPr>
        <w:t xml:space="preserve">à connotation </w:t>
      </w:r>
      <w:r w:rsidR="005A6C65" w:rsidRPr="00517AF1">
        <w:rPr>
          <w:rFonts w:ascii="Cambria" w:hAnsi="Cambria"/>
        </w:rPr>
        <w:t>de perte,</w:t>
      </w:r>
      <w:r w:rsidR="00A86D13" w:rsidRPr="00517AF1">
        <w:rPr>
          <w:rFonts w:ascii="Cambria" w:hAnsi="Cambria"/>
        </w:rPr>
        <w:t xml:space="preserve"> </w:t>
      </w:r>
      <w:r w:rsidR="00604F41" w:rsidRPr="00517AF1">
        <w:rPr>
          <w:rFonts w:ascii="Cambria" w:hAnsi="Cambria"/>
        </w:rPr>
        <w:t>d’urgence</w:t>
      </w:r>
      <w:r w:rsidR="0079165E" w:rsidRPr="00517AF1">
        <w:rPr>
          <w:rFonts w:ascii="Cambria" w:hAnsi="Cambria"/>
        </w:rPr>
        <w:t xml:space="preserve">. </w:t>
      </w:r>
      <w:r w:rsidR="00431661" w:rsidRPr="00517AF1">
        <w:rPr>
          <w:rFonts w:ascii="Cambria" w:hAnsi="Cambria"/>
        </w:rPr>
        <w:t>Le système</w:t>
      </w:r>
      <w:r w:rsidRPr="00517AF1">
        <w:rPr>
          <w:rFonts w:ascii="Cambria" w:hAnsi="Cambria"/>
        </w:rPr>
        <w:t xml:space="preserve"> </w:t>
      </w:r>
      <w:r w:rsidR="00431661" w:rsidRPr="00517AF1">
        <w:rPr>
          <w:rFonts w:ascii="Cambria" w:hAnsi="Cambria"/>
        </w:rPr>
        <w:t xml:space="preserve">« patrimoine immatériel » engendré par cette situation se veut une réponse positive à des facteurs </w:t>
      </w:r>
      <w:r w:rsidR="00740C02" w:rsidRPr="00517AF1">
        <w:rPr>
          <w:rFonts w:ascii="Cambria" w:hAnsi="Cambria"/>
        </w:rPr>
        <w:t>complexes</w:t>
      </w:r>
      <w:r w:rsidR="00113C19" w:rsidRPr="00517AF1">
        <w:rPr>
          <w:rFonts w:ascii="Cambria" w:hAnsi="Cambria"/>
        </w:rPr>
        <w:t xml:space="preserve"> qui jugulent encore aujourd’hui l’offre </w:t>
      </w:r>
      <w:r w:rsidR="001E34ED" w:rsidRPr="00517AF1">
        <w:rPr>
          <w:rFonts w:ascii="Cambria" w:hAnsi="Cambria"/>
        </w:rPr>
        <w:t>et/</w:t>
      </w:r>
      <w:r w:rsidR="00113C19" w:rsidRPr="00517AF1">
        <w:rPr>
          <w:rFonts w:ascii="Cambria" w:hAnsi="Cambria"/>
        </w:rPr>
        <w:t>ou la demande en pratiques traditionnelles,</w:t>
      </w:r>
      <w:r w:rsidRPr="00517AF1">
        <w:rPr>
          <w:rFonts w:ascii="Cambria" w:hAnsi="Cambria"/>
        </w:rPr>
        <w:t xml:space="preserve"> que ce soit</w:t>
      </w:r>
      <w:r w:rsidR="00A7313B" w:rsidRPr="00517AF1">
        <w:rPr>
          <w:rFonts w:ascii="Cambria" w:hAnsi="Cambria"/>
        </w:rPr>
        <w:t xml:space="preserve"> </w:t>
      </w:r>
      <w:r w:rsidR="00113C19" w:rsidRPr="00517AF1">
        <w:rPr>
          <w:rFonts w:ascii="Cambria" w:hAnsi="Cambria"/>
        </w:rPr>
        <w:t xml:space="preserve">de façon </w:t>
      </w:r>
      <w:r w:rsidR="00C61B61" w:rsidRPr="00517AF1">
        <w:rPr>
          <w:rFonts w:ascii="Cambria" w:hAnsi="Cambria"/>
        </w:rPr>
        <w:t>équitable</w:t>
      </w:r>
      <w:r w:rsidR="00113C19" w:rsidRPr="00517AF1">
        <w:rPr>
          <w:rFonts w:ascii="Cambria" w:hAnsi="Cambria"/>
        </w:rPr>
        <w:t xml:space="preserve"> ou non</w:t>
      </w:r>
      <w:r w:rsidR="000406C5" w:rsidRPr="00517AF1">
        <w:rPr>
          <w:rFonts w:ascii="Cambria" w:hAnsi="Cambria"/>
        </w:rPr>
        <w:t xml:space="preserve">, de façon </w:t>
      </w:r>
      <w:r w:rsidR="00755436" w:rsidRPr="00517AF1">
        <w:rPr>
          <w:rFonts w:ascii="Cambria" w:hAnsi="Cambria"/>
        </w:rPr>
        <w:t>artificielle</w:t>
      </w:r>
      <w:r w:rsidR="000406C5" w:rsidRPr="00517AF1">
        <w:rPr>
          <w:rFonts w:ascii="Cambria" w:hAnsi="Cambria"/>
        </w:rPr>
        <w:t xml:space="preserve"> ou non</w:t>
      </w:r>
      <w:r w:rsidR="00D766E4" w:rsidRPr="00517AF1">
        <w:rPr>
          <w:rFonts w:ascii="Cambria" w:hAnsi="Cambria"/>
        </w:rPr>
        <w:t>.</w:t>
      </w:r>
    </w:p>
    <w:p w14:paraId="0203152F" w14:textId="77777777" w:rsidR="008B6F49" w:rsidRPr="00517AF1" w:rsidRDefault="008B6F49" w:rsidP="00517AF1">
      <w:pPr>
        <w:jc w:val="both"/>
        <w:rPr>
          <w:rFonts w:ascii="Cambria" w:hAnsi="Cambria"/>
        </w:rPr>
      </w:pPr>
    </w:p>
    <w:p w14:paraId="3486C0F0" w14:textId="427A27C5" w:rsidR="00BF605D" w:rsidRPr="00517AF1" w:rsidRDefault="009756F9" w:rsidP="00517AF1">
      <w:pPr>
        <w:jc w:val="both"/>
        <w:rPr>
          <w:rFonts w:ascii="Cambria" w:hAnsi="Cambria"/>
        </w:rPr>
      </w:pPr>
      <w:r w:rsidRPr="00517AF1">
        <w:rPr>
          <w:rFonts w:ascii="Cambria" w:hAnsi="Cambria"/>
        </w:rPr>
        <w:t xml:space="preserve">Les prémisses </w:t>
      </w:r>
      <w:r w:rsidR="00BF605D" w:rsidRPr="00517AF1">
        <w:rPr>
          <w:rFonts w:ascii="Cambria" w:hAnsi="Cambria"/>
        </w:rPr>
        <w:t>de la présente communication</w:t>
      </w:r>
      <w:r w:rsidRPr="00517AF1">
        <w:rPr>
          <w:rFonts w:ascii="Cambria" w:hAnsi="Cambria"/>
        </w:rPr>
        <w:t xml:space="preserve"> sont les suivantes : 1. Le patrimoine immatériel est un vecteur promotionnel; 2. </w:t>
      </w:r>
      <w:r w:rsidR="00BF605D" w:rsidRPr="00517AF1">
        <w:rPr>
          <w:rFonts w:ascii="Cambria" w:hAnsi="Cambria"/>
        </w:rPr>
        <w:t>Il</w:t>
      </w:r>
      <w:r w:rsidRPr="00517AF1">
        <w:rPr>
          <w:rFonts w:ascii="Cambria" w:hAnsi="Cambria"/>
        </w:rPr>
        <w:t xml:space="preserve"> constitue un levier de changement au niveau administratif qui doit se baser su</w:t>
      </w:r>
      <w:r w:rsidR="00BF605D" w:rsidRPr="00517AF1">
        <w:rPr>
          <w:rFonts w:ascii="Cambria" w:hAnsi="Cambria"/>
        </w:rPr>
        <w:t>r l’équité</w:t>
      </w:r>
      <w:r w:rsidRPr="00517AF1">
        <w:rPr>
          <w:rFonts w:ascii="Cambria" w:hAnsi="Cambria"/>
        </w:rPr>
        <w:t xml:space="preserve">. Les acteurs culturels dont les pratiques sont issues de la tradition orale ou gestuelle méritent </w:t>
      </w:r>
      <w:r w:rsidR="00BF605D" w:rsidRPr="00517AF1">
        <w:rPr>
          <w:rFonts w:ascii="Cambria" w:hAnsi="Cambria"/>
        </w:rPr>
        <w:t xml:space="preserve">en effet </w:t>
      </w:r>
      <w:r w:rsidRPr="00517AF1">
        <w:rPr>
          <w:rFonts w:ascii="Cambria" w:hAnsi="Cambria"/>
        </w:rPr>
        <w:t>un soutien au moins égal à celui offert pour des activités comparables hors patrimoine immatériel</w:t>
      </w:r>
      <w:r w:rsidR="00B25FB9" w:rsidRPr="00517AF1">
        <w:rPr>
          <w:rFonts w:ascii="Cambria" w:hAnsi="Cambria"/>
        </w:rPr>
        <w:t xml:space="preserve"> s’il y a lieu</w:t>
      </w:r>
      <w:r w:rsidRPr="00517AF1">
        <w:rPr>
          <w:rFonts w:ascii="Cambria" w:hAnsi="Cambria"/>
        </w:rPr>
        <w:t xml:space="preserve">. </w:t>
      </w:r>
    </w:p>
    <w:p w14:paraId="200187AB" w14:textId="77777777" w:rsidR="00425D0E" w:rsidRPr="00517AF1" w:rsidRDefault="00425D0E" w:rsidP="00517AF1">
      <w:pPr>
        <w:jc w:val="both"/>
        <w:rPr>
          <w:rFonts w:ascii="Cambria" w:hAnsi="Cambria"/>
        </w:rPr>
      </w:pPr>
    </w:p>
    <w:p w14:paraId="421F8659" w14:textId="2453055D" w:rsidR="009756F9" w:rsidRPr="00517AF1" w:rsidRDefault="001967AB" w:rsidP="00517AF1">
      <w:pPr>
        <w:jc w:val="both"/>
        <w:rPr>
          <w:rFonts w:ascii="Cambria" w:hAnsi="Cambria"/>
        </w:rPr>
      </w:pPr>
      <w:r w:rsidRPr="00517AF1">
        <w:rPr>
          <w:rFonts w:ascii="Cambria" w:hAnsi="Cambria"/>
        </w:rPr>
        <w:t xml:space="preserve">Il demeurera souvent </w:t>
      </w:r>
      <w:r w:rsidR="000E7E29" w:rsidRPr="00517AF1">
        <w:rPr>
          <w:rFonts w:ascii="Cambria" w:hAnsi="Cambria"/>
        </w:rPr>
        <w:t xml:space="preserve">difficile </w:t>
      </w:r>
      <w:r w:rsidRPr="00517AF1">
        <w:rPr>
          <w:rFonts w:ascii="Cambria" w:hAnsi="Cambria"/>
        </w:rPr>
        <w:t>au sein des</w:t>
      </w:r>
      <w:r w:rsidR="000E7E29" w:rsidRPr="00517AF1">
        <w:rPr>
          <w:rFonts w:ascii="Cambria" w:hAnsi="Cambria"/>
        </w:rPr>
        <w:t xml:space="preserve"> structures administratives </w:t>
      </w:r>
      <w:r w:rsidRPr="00517AF1">
        <w:rPr>
          <w:rFonts w:ascii="Cambria" w:hAnsi="Cambria"/>
        </w:rPr>
        <w:t xml:space="preserve">existantes </w:t>
      </w:r>
      <w:r w:rsidR="000E7E29" w:rsidRPr="00517AF1">
        <w:rPr>
          <w:rFonts w:ascii="Cambria" w:hAnsi="Cambria"/>
        </w:rPr>
        <w:t>de modifier la cartographie de distribution (tacite ou attestée) des subventions. De déshabiller Pierre pour habiller Jacques. Les instruments sur le PCI peuvent servir à cautionner de tels changements</w:t>
      </w:r>
      <w:r w:rsidRPr="00517AF1">
        <w:rPr>
          <w:rFonts w:ascii="Cambria" w:hAnsi="Cambria"/>
        </w:rPr>
        <w:t>,</w:t>
      </w:r>
      <w:r w:rsidR="003E35F3" w:rsidRPr="00517AF1">
        <w:rPr>
          <w:rFonts w:ascii="Cambria" w:hAnsi="Cambria"/>
        </w:rPr>
        <w:t xml:space="preserve"> avec la volonté politique que cela implique</w:t>
      </w:r>
      <w:r w:rsidR="000E7E29" w:rsidRPr="00517AF1">
        <w:rPr>
          <w:rFonts w:ascii="Cambria" w:hAnsi="Cambria"/>
        </w:rPr>
        <w:t>. Les pays qui commencent tout juste à se doter d’institutions de support à la culture, comme un ministère de la culture par exemple, bénéficient paradoxalement d’une opportunité de sauvegarde plus flexible que les autres.</w:t>
      </w:r>
    </w:p>
    <w:p w14:paraId="16F35CDE" w14:textId="77777777" w:rsidR="00434DD6" w:rsidRDefault="00434DD6" w:rsidP="00517AF1">
      <w:pPr>
        <w:jc w:val="both"/>
        <w:rPr>
          <w:rFonts w:ascii="Cambria" w:hAnsi="Cambria"/>
        </w:rPr>
      </w:pPr>
    </w:p>
    <w:p w14:paraId="39784932" w14:textId="77777777" w:rsidR="001A437D" w:rsidRDefault="001A437D" w:rsidP="00517AF1">
      <w:pPr>
        <w:jc w:val="both"/>
        <w:rPr>
          <w:rFonts w:ascii="Cambria" w:hAnsi="Cambria"/>
        </w:rPr>
      </w:pPr>
    </w:p>
    <w:p w14:paraId="58DB1210" w14:textId="77777777" w:rsidR="006D2C5D" w:rsidRPr="00517AF1" w:rsidRDefault="006D2C5D" w:rsidP="00517AF1">
      <w:pPr>
        <w:jc w:val="both"/>
        <w:rPr>
          <w:rFonts w:ascii="Cambria" w:hAnsi="Cambria"/>
          <w:b/>
        </w:rPr>
      </w:pPr>
      <w:r w:rsidRPr="00517AF1">
        <w:rPr>
          <w:rFonts w:ascii="Cambria" w:hAnsi="Cambria"/>
          <w:b/>
        </w:rPr>
        <w:t>Mesurer pour mieux administrer &amp; pour mieux développer</w:t>
      </w:r>
    </w:p>
    <w:p w14:paraId="6750CCCC" w14:textId="77777777" w:rsidR="006D2C5D" w:rsidRPr="00517AF1" w:rsidRDefault="006D2C5D" w:rsidP="00517AF1">
      <w:pPr>
        <w:jc w:val="both"/>
        <w:rPr>
          <w:rFonts w:ascii="Cambria" w:hAnsi="Cambria"/>
        </w:rPr>
      </w:pPr>
    </w:p>
    <w:p w14:paraId="7558E9C9" w14:textId="77777777" w:rsidR="006D2C5D" w:rsidRDefault="006D2C5D" w:rsidP="00517AF1">
      <w:pPr>
        <w:jc w:val="both"/>
        <w:rPr>
          <w:rFonts w:ascii="Cambria" w:hAnsi="Cambria"/>
        </w:rPr>
      </w:pPr>
      <w:r w:rsidRPr="00517AF1">
        <w:rPr>
          <w:rFonts w:ascii="Cambria" w:hAnsi="Cambria"/>
        </w:rPr>
        <w:t>Combien d’argent est alloué à l’enseignement, à la diffusion et à la recherche de la musique de tradition orale par rapport à la musique de tradition écrite? cela correspond-t-il au taux de musiciens respectifs? aux ventes d’enregistrements sonores? Combien d’argent ou de crédits d’impôt sont alloués aux producteurs indépendants de sirop d’érable par rapport à l’industrie du sucre? Les artisans restaurateurs de bâtiments anciens ont-ils le même accès aux chantiers que les travailleurs de la construction? Quel appui moyen au fonctionnement pour les organismes en patrimoine vivant par rapport aux organismes en culture ou en loisir en général?</w:t>
      </w:r>
    </w:p>
    <w:p w14:paraId="07EF9DFA" w14:textId="77777777" w:rsidR="008B2444" w:rsidRDefault="008B2444" w:rsidP="00517AF1">
      <w:pPr>
        <w:jc w:val="both"/>
        <w:rPr>
          <w:rFonts w:ascii="Cambria" w:hAnsi="Cambria"/>
        </w:rPr>
      </w:pPr>
    </w:p>
    <w:p w14:paraId="33E658CA" w14:textId="3E3A70DA" w:rsidR="008B2444" w:rsidRPr="008B2444" w:rsidRDefault="008B2444" w:rsidP="008B2444">
      <w:pPr>
        <w:jc w:val="both"/>
        <w:rPr>
          <w:rFonts w:ascii="Cambria" w:hAnsi="Cambria"/>
        </w:rPr>
      </w:pPr>
      <w:r w:rsidRPr="008B2444">
        <w:rPr>
          <w:rFonts w:ascii="Cambria" w:hAnsi="Cambria"/>
        </w:rPr>
        <w:t xml:space="preserve">L’action ministérielle demeure souvent basée, dans les pays industrialisés, sur la distinction entre </w:t>
      </w:r>
      <w:r w:rsidR="00A338B8">
        <w:rPr>
          <w:rFonts w:ascii="Cambria" w:hAnsi="Cambria"/>
        </w:rPr>
        <w:t>grande culture et basse culture –</w:t>
      </w:r>
      <w:r w:rsidRPr="008B2444">
        <w:rPr>
          <w:rFonts w:ascii="Cambria" w:hAnsi="Cambria"/>
        </w:rPr>
        <w:t xml:space="preserve"> entre cultur</w:t>
      </w:r>
      <w:r w:rsidR="00A338B8">
        <w:rPr>
          <w:rFonts w:ascii="Cambria" w:hAnsi="Cambria"/>
        </w:rPr>
        <w:t>e des élites et celle du peuple –</w:t>
      </w:r>
      <w:r w:rsidRPr="008B2444">
        <w:rPr>
          <w:rFonts w:ascii="Cambria" w:hAnsi="Cambria"/>
        </w:rPr>
        <w:t xml:space="preserve"> et ce, malgré la relative atténuation de ces dichotomies dans la sphère publique, où la culture traditionnelle ne se confond du reste souvent plus avec la culture populaire. Autrement dit, le système de valeur de l’intervention publique en culture, intériorisé depuis plus ou moins longtemps dans les pays </w:t>
      </w:r>
      <w:r w:rsidR="00A338B8">
        <w:rPr>
          <w:rFonts w:ascii="Cambria" w:hAnsi="Cambria"/>
        </w:rPr>
        <w:t>concernés</w:t>
      </w:r>
      <w:r w:rsidRPr="008B2444">
        <w:rPr>
          <w:rFonts w:ascii="Cambria" w:hAnsi="Cambria"/>
        </w:rPr>
        <w:t xml:space="preserve">, se fonde toujours en bonne partie sur ces distinctions, au point même d’oublier que ce sont des choix publics </w:t>
      </w:r>
      <w:r w:rsidR="00A338B8">
        <w:rPr>
          <w:rFonts w:ascii="Cambria" w:hAnsi="Cambria"/>
        </w:rPr>
        <w:t>sans cesse</w:t>
      </w:r>
      <w:r w:rsidRPr="008B2444">
        <w:rPr>
          <w:rFonts w:ascii="Cambria" w:hAnsi="Cambria"/>
        </w:rPr>
        <w:t xml:space="preserve"> réactualisés.</w:t>
      </w:r>
    </w:p>
    <w:p w14:paraId="26E91A98" w14:textId="77777777" w:rsidR="008B2444" w:rsidRPr="008B2444" w:rsidRDefault="008B2444" w:rsidP="008B2444">
      <w:pPr>
        <w:jc w:val="both"/>
        <w:rPr>
          <w:rFonts w:ascii="Cambria" w:hAnsi="Cambria"/>
        </w:rPr>
      </w:pPr>
    </w:p>
    <w:p w14:paraId="0E8C3553" w14:textId="4BE47AB5" w:rsidR="008B2444" w:rsidRPr="00517AF1" w:rsidRDefault="008B2444" w:rsidP="00517AF1">
      <w:pPr>
        <w:jc w:val="both"/>
        <w:rPr>
          <w:rFonts w:ascii="Cambria" w:hAnsi="Cambria"/>
        </w:rPr>
      </w:pPr>
      <w:r w:rsidRPr="008B2444">
        <w:rPr>
          <w:rFonts w:ascii="Cambria" w:hAnsi="Cambria"/>
        </w:rPr>
        <w:t xml:space="preserve">Le PCI devient l’une des façons possibles de prendre conscience </w:t>
      </w:r>
      <w:r w:rsidRPr="008B2444">
        <w:rPr>
          <w:rFonts w:ascii="Cambria" w:hAnsi="Cambria"/>
          <w:i/>
        </w:rPr>
        <w:t>via negativa</w:t>
      </w:r>
      <w:r w:rsidRPr="008B2444">
        <w:rPr>
          <w:rFonts w:ascii="Cambria" w:hAnsi="Cambria"/>
        </w:rPr>
        <w:t xml:space="preserve"> que les secteurs « intouchables » du soutien public sont en réalité les véritables réceptacles de la patrimonialisation culturelle, qui porte un autre nom mais qui n’en demeure pas moins centrale : l’institutionnalisation. Celle-ci peut prendre diverses formes, allant de la prise en charge par l’État de la sélection d’acteurs culturels, des lieux de pratique et de la diffusion, jusqu’au prêt de locaux municipaux à une association culturelle. Le patrimoine immatériel représente le plus souvent le label désignant le maillon faible de cette institutionnalisation/patrimonialisation.</w:t>
      </w:r>
    </w:p>
    <w:p w14:paraId="6F0DB90E" w14:textId="77777777" w:rsidR="006D2C5D" w:rsidRPr="00517AF1" w:rsidRDefault="006D2C5D" w:rsidP="00517AF1">
      <w:pPr>
        <w:jc w:val="both"/>
        <w:rPr>
          <w:rFonts w:ascii="Cambria" w:hAnsi="Cambria"/>
        </w:rPr>
      </w:pPr>
    </w:p>
    <w:p w14:paraId="1E6BA1D2" w14:textId="596AB222" w:rsidR="00D766E4" w:rsidRPr="00517AF1" w:rsidRDefault="006D2C5D" w:rsidP="00517AF1">
      <w:pPr>
        <w:jc w:val="both"/>
        <w:rPr>
          <w:rFonts w:ascii="Cambria" w:hAnsi="Cambria"/>
        </w:rPr>
      </w:pPr>
      <w:r w:rsidRPr="00517AF1">
        <w:rPr>
          <w:rFonts w:ascii="Cambria" w:hAnsi="Cambria"/>
        </w:rPr>
        <w:t xml:space="preserve">Afin d’impulser les améliorations que requiert le PCI en tant que vecteur de changement administratif, les acteurs en cause nécessitent des données fiables. </w:t>
      </w:r>
      <w:r w:rsidR="00FA63E4">
        <w:rPr>
          <w:rFonts w:ascii="Cambria" w:hAnsi="Cambria"/>
        </w:rPr>
        <w:t>Si c</w:t>
      </w:r>
      <w:r w:rsidR="0071075D">
        <w:rPr>
          <w:rFonts w:ascii="Cambria" w:hAnsi="Cambria"/>
        </w:rPr>
        <w:t>haque pays ou chaque élément</w:t>
      </w:r>
      <w:r w:rsidR="00D766E4" w:rsidRPr="00517AF1">
        <w:rPr>
          <w:rFonts w:ascii="Cambria" w:hAnsi="Cambria"/>
        </w:rPr>
        <w:t xml:space="preserve"> demande</w:t>
      </w:r>
      <w:r w:rsidR="0071075D">
        <w:rPr>
          <w:rFonts w:ascii="Cambria" w:hAnsi="Cambria"/>
        </w:rPr>
        <w:t>nt</w:t>
      </w:r>
      <w:r w:rsidR="00D766E4" w:rsidRPr="00517AF1">
        <w:rPr>
          <w:rFonts w:ascii="Cambria" w:hAnsi="Cambria"/>
        </w:rPr>
        <w:t xml:space="preserve"> à êtr</w:t>
      </w:r>
      <w:r w:rsidR="00FA63E4">
        <w:rPr>
          <w:rFonts w:ascii="Cambria" w:hAnsi="Cambria"/>
        </w:rPr>
        <w:t>e évalué</w:t>
      </w:r>
      <w:r w:rsidR="0071075D">
        <w:rPr>
          <w:rFonts w:ascii="Cambria" w:hAnsi="Cambria"/>
        </w:rPr>
        <w:t>s</w:t>
      </w:r>
      <w:r w:rsidR="00FA63E4">
        <w:rPr>
          <w:rFonts w:ascii="Cambria" w:hAnsi="Cambria"/>
        </w:rPr>
        <w:t xml:space="preserve"> de façon particulière, </w:t>
      </w:r>
      <w:r w:rsidR="00D766E4" w:rsidRPr="00517AF1">
        <w:rPr>
          <w:rFonts w:ascii="Cambria" w:hAnsi="Cambria"/>
        </w:rPr>
        <w:t>il</w:t>
      </w:r>
      <w:r w:rsidR="0071075D">
        <w:rPr>
          <w:rFonts w:ascii="Cambria" w:hAnsi="Cambria"/>
        </w:rPr>
        <w:t>s</w:t>
      </w:r>
      <w:r w:rsidR="00D766E4" w:rsidRPr="00517AF1">
        <w:rPr>
          <w:rFonts w:ascii="Cambria" w:hAnsi="Cambria"/>
        </w:rPr>
        <w:t xml:space="preserve"> demande</w:t>
      </w:r>
      <w:r w:rsidR="0071075D">
        <w:rPr>
          <w:rFonts w:ascii="Cambria" w:hAnsi="Cambria"/>
        </w:rPr>
        <w:t>nt</w:t>
      </w:r>
      <w:r w:rsidR="00D766E4" w:rsidRPr="00517AF1">
        <w:rPr>
          <w:rFonts w:ascii="Cambria" w:hAnsi="Cambria"/>
        </w:rPr>
        <w:t xml:space="preserve"> tout de même à être évalué.</w:t>
      </w:r>
      <w:r w:rsidR="00425D0E" w:rsidRPr="00517AF1">
        <w:rPr>
          <w:rFonts w:ascii="Cambria" w:hAnsi="Cambria"/>
        </w:rPr>
        <w:t xml:space="preserve"> J’oserai même dire que, paradoxalement, aussitôt que nous sommes rendus à parler de patrimoine immatériel nous nageons déjà dans une sphère trop globale pour être véritablement opérante. Car ce n’est pas le patrimoine immatériel qu’il faut sauvegarder, mais bien les éléments auxquels il fait référence.</w:t>
      </w:r>
    </w:p>
    <w:p w14:paraId="67498B67" w14:textId="77777777" w:rsidR="006D2C5D" w:rsidRPr="00517AF1" w:rsidRDefault="006D2C5D" w:rsidP="00517AF1">
      <w:pPr>
        <w:jc w:val="both"/>
        <w:rPr>
          <w:rFonts w:ascii="Cambria" w:hAnsi="Cambria"/>
        </w:rPr>
      </w:pPr>
    </w:p>
    <w:p w14:paraId="0B75CC62" w14:textId="27CB4353" w:rsidR="006D2C5D" w:rsidRPr="00517AF1" w:rsidRDefault="006D2C5D" w:rsidP="00517AF1">
      <w:pPr>
        <w:jc w:val="both"/>
        <w:rPr>
          <w:rFonts w:ascii="Cambria" w:hAnsi="Cambria"/>
        </w:rPr>
      </w:pPr>
      <w:r w:rsidRPr="00517AF1">
        <w:rPr>
          <w:rFonts w:ascii="Cambria" w:hAnsi="Cambria"/>
        </w:rPr>
        <w:t xml:space="preserve">Le Cadre de l’UNESCO pour les statistiques culturelles de 2009 ne fournit pas de méthodologie adéquate pour mesurer le PCI. Il contient </w:t>
      </w:r>
      <w:r w:rsidR="0071075D">
        <w:rPr>
          <w:rFonts w:ascii="Cambria" w:hAnsi="Cambria"/>
        </w:rPr>
        <w:t>au surplus</w:t>
      </w:r>
      <w:r w:rsidRPr="00517AF1">
        <w:rPr>
          <w:rFonts w:ascii="Cambria" w:hAnsi="Cambria"/>
        </w:rPr>
        <w:t xml:space="preserve"> des contradictions quant à la compréhension de ce dernier concept.</w:t>
      </w:r>
    </w:p>
    <w:p w14:paraId="412E7689" w14:textId="77777777" w:rsidR="006D2C5D" w:rsidRPr="00517AF1" w:rsidRDefault="006D2C5D" w:rsidP="00517AF1">
      <w:pPr>
        <w:jc w:val="both"/>
        <w:rPr>
          <w:rFonts w:ascii="Cambria" w:hAnsi="Cambria"/>
        </w:rPr>
      </w:pPr>
    </w:p>
    <w:p w14:paraId="2E8642AF" w14:textId="1F38E93B" w:rsidR="006D2C5D" w:rsidRPr="00517AF1" w:rsidRDefault="006D2C5D" w:rsidP="00517AF1">
      <w:pPr>
        <w:jc w:val="both"/>
        <w:rPr>
          <w:rFonts w:ascii="Cambria" w:hAnsi="Cambria"/>
        </w:rPr>
      </w:pPr>
      <w:r w:rsidRPr="00517AF1">
        <w:rPr>
          <w:rFonts w:ascii="Cambria" w:hAnsi="Cambria"/>
        </w:rPr>
        <w:t xml:space="preserve">Le Conseil québécois du patrimoine vivant (CQPV), grâce au soutien du ministère de la Culture et des Communications du Québec, a réalisé un vaste portrait socioéconomique sur le PCI au Québec. Celui-ci comprend premièrement les résultats d’une enquête auprès des corporations qui définissent leur action comme du PCI. En second lieu, le rapport étudie le soutien public au PCI et aux éléments de culture traditionnelle qui s’en réclament. L’analyse de la structure du support gouvernemental permet d’observer l’action des sociétés publiques et les ressources qui sont effectivement dévolues à la culture traditionnelle. L’examen des initiatives des municipalités ayant inclut le PCI dans leur politique culturelle ou patrimoniale a permis d’autre part de jauger les efforts réellement consentis au PCI au sein de ces institutions. Finalement, le rapport comprend une étude de cas détaillée sur la musique de tradition orale. Une série d’angles d’analyse est mise à contribution afin de comprendre où </w:t>
      </w:r>
      <w:r w:rsidR="0071075D">
        <w:rPr>
          <w:rFonts w:ascii="Cambria" w:hAnsi="Cambria"/>
        </w:rPr>
        <w:t>se situent</w:t>
      </w:r>
      <w:r w:rsidRPr="00517AF1">
        <w:rPr>
          <w:rFonts w:ascii="Cambria" w:hAnsi="Cambria"/>
        </w:rPr>
        <w:t xml:space="preserve"> les zones de bonne performance et où </w:t>
      </w:r>
      <w:r w:rsidR="0071075D">
        <w:rPr>
          <w:rFonts w:ascii="Cambria" w:hAnsi="Cambria"/>
        </w:rPr>
        <w:t>se trouvent</w:t>
      </w:r>
      <w:r w:rsidRPr="00517AF1">
        <w:rPr>
          <w:rFonts w:ascii="Cambria" w:hAnsi="Cambria"/>
        </w:rPr>
        <w:t xml:space="preserve"> les situations de blocage eu égard au développement de la discipline. Le rapport </w:t>
      </w:r>
      <w:r w:rsidR="0071075D">
        <w:rPr>
          <w:rFonts w:ascii="Cambria" w:hAnsi="Cambria"/>
        </w:rPr>
        <w:t xml:space="preserve">du CQPV </w:t>
      </w:r>
      <w:r w:rsidRPr="00517AF1">
        <w:rPr>
          <w:rFonts w:ascii="Cambria" w:hAnsi="Cambria"/>
        </w:rPr>
        <w:t>contient des données sur l’influence médiatique, les prix en culture, la radio, les ventes d’enregistrement sonores par genre, le nombre de musiciens de folklore, le soutien public (bourses et subventions), l’offre de formation, etc. Il contient également une enquête sur les music</w:t>
      </w:r>
      <w:r w:rsidR="0071075D">
        <w:rPr>
          <w:rFonts w:ascii="Cambria" w:hAnsi="Cambria"/>
        </w:rPr>
        <w:t>iens et chanteurs qui présente</w:t>
      </w:r>
      <w:r w:rsidRPr="00517AF1">
        <w:rPr>
          <w:rFonts w:ascii="Cambria" w:hAnsi="Cambria"/>
        </w:rPr>
        <w:t xml:space="preserve"> des données importantes sur la situation socioéconomique</w:t>
      </w:r>
      <w:r w:rsidR="0071075D">
        <w:rPr>
          <w:rFonts w:ascii="Cambria" w:hAnsi="Cambria"/>
        </w:rPr>
        <w:t xml:space="preserve"> et</w:t>
      </w:r>
      <w:r w:rsidRPr="00517AF1">
        <w:rPr>
          <w:rFonts w:ascii="Cambria" w:hAnsi="Cambria"/>
        </w:rPr>
        <w:t xml:space="preserve"> les comportements des sondés, incluant des données sur la transmission de la pratique.</w:t>
      </w:r>
    </w:p>
    <w:p w14:paraId="6FB8F00A" w14:textId="77777777" w:rsidR="006D2C5D" w:rsidRPr="00517AF1" w:rsidRDefault="006D2C5D" w:rsidP="00517AF1">
      <w:pPr>
        <w:jc w:val="both"/>
        <w:rPr>
          <w:rFonts w:ascii="Cambria" w:hAnsi="Cambria"/>
        </w:rPr>
      </w:pPr>
    </w:p>
    <w:p w14:paraId="24DD9FE1" w14:textId="75DDF0C8" w:rsidR="006D2C5D" w:rsidRPr="00517AF1" w:rsidRDefault="006D2C5D" w:rsidP="00517AF1">
      <w:pPr>
        <w:jc w:val="both"/>
        <w:rPr>
          <w:rFonts w:ascii="Cambria" w:hAnsi="Cambria"/>
        </w:rPr>
      </w:pPr>
      <w:r w:rsidRPr="00517AF1">
        <w:rPr>
          <w:rFonts w:ascii="Cambria" w:hAnsi="Cambria"/>
        </w:rPr>
        <w:t>Il devient ensuite possible d’établir une sorte de jauge de la présence d’un élément dans la sphère publique. La médiane des données du rapport a par exemple indiqué que la musique de tradition orale représentait généralement entre 1 et 2% de la musique au Québec. Ainsi, en fonction de comparaisons diverses, i</w:t>
      </w:r>
      <w:r w:rsidR="00425D0E" w:rsidRPr="00517AF1">
        <w:rPr>
          <w:rFonts w:ascii="Cambria" w:hAnsi="Cambria"/>
        </w:rPr>
        <w:t xml:space="preserve">l devient possible </w:t>
      </w:r>
      <w:r w:rsidR="00BA3DED">
        <w:rPr>
          <w:rFonts w:ascii="Cambria" w:hAnsi="Cambria"/>
        </w:rPr>
        <w:t>de fonder</w:t>
      </w:r>
      <w:r w:rsidR="00425D0E" w:rsidRPr="00517AF1">
        <w:rPr>
          <w:rFonts w:ascii="Cambria" w:hAnsi="Cambria"/>
        </w:rPr>
        <w:t xml:space="preserve"> une évaluation </w:t>
      </w:r>
      <w:r w:rsidRPr="00517AF1">
        <w:rPr>
          <w:rFonts w:ascii="Cambria" w:hAnsi="Cambria"/>
        </w:rPr>
        <w:t>de la juste part</w:t>
      </w:r>
      <w:r w:rsidR="00425D0E" w:rsidRPr="00517AF1">
        <w:rPr>
          <w:rFonts w:ascii="Cambria" w:hAnsi="Cambria"/>
        </w:rPr>
        <w:t xml:space="preserve"> </w:t>
      </w:r>
      <w:r w:rsidR="005824AD" w:rsidRPr="00517AF1">
        <w:rPr>
          <w:rFonts w:ascii="Cambria" w:hAnsi="Cambria"/>
        </w:rPr>
        <w:t>des ressources publiques à allouer au sein de</w:t>
      </w:r>
      <w:r w:rsidR="00420333">
        <w:rPr>
          <w:rFonts w:ascii="Cambria" w:hAnsi="Cambria"/>
        </w:rPr>
        <w:t>s</w:t>
      </w:r>
      <w:r w:rsidR="005824AD" w:rsidRPr="00517AF1">
        <w:rPr>
          <w:rFonts w:ascii="Cambria" w:hAnsi="Cambria"/>
        </w:rPr>
        <w:t xml:space="preserve"> diverses institutions concernées</w:t>
      </w:r>
      <w:r w:rsidRPr="00517AF1">
        <w:rPr>
          <w:rFonts w:ascii="Cambria" w:hAnsi="Cambria"/>
        </w:rPr>
        <w:t>.</w:t>
      </w:r>
    </w:p>
    <w:p w14:paraId="654B321C" w14:textId="77777777" w:rsidR="006D2C5D" w:rsidRPr="00517AF1" w:rsidRDefault="006D2C5D" w:rsidP="00517AF1">
      <w:pPr>
        <w:jc w:val="both"/>
        <w:rPr>
          <w:rFonts w:ascii="Cambria" w:hAnsi="Cambria"/>
        </w:rPr>
      </w:pPr>
    </w:p>
    <w:p w14:paraId="10CE3EEE" w14:textId="35A9C96F" w:rsidR="006D2C5D" w:rsidRPr="00517AF1" w:rsidRDefault="006D2C5D" w:rsidP="00517AF1">
      <w:pPr>
        <w:jc w:val="both"/>
        <w:rPr>
          <w:rFonts w:ascii="Cambria" w:hAnsi="Cambria"/>
        </w:rPr>
      </w:pPr>
      <w:r w:rsidRPr="00517AF1">
        <w:rPr>
          <w:rFonts w:ascii="Cambria" w:hAnsi="Cambria"/>
        </w:rPr>
        <w:t xml:space="preserve">Ainsi, pour les éléments qui s’inscrivent </w:t>
      </w:r>
      <w:r w:rsidR="00405C0E">
        <w:rPr>
          <w:rFonts w:ascii="Cambria" w:hAnsi="Cambria"/>
        </w:rPr>
        <w:t xml:space="preserve">déjà </w:t>
      </w:r>
      <w:r w:rsidRPr="00517AF1">
        <w:rPr>
          <w:rFonts w:ascii="Cambria" w:hAnsi="Cambria"/>
        </w:rPr>
        <w:t xml:space="preserve">dans le champ de l’intervention publique, </w:t>
      </w:r>
      <w:r w:rsidR="00420333">
        <w:rPr>
          <w:rFonts w:ascii="Cambria" w:hAnsi="Cambria"/>
        </w:rPr>
        <w:t xml:space="preserve">comme les arts, </w:t>
      </w:r>
      <w:r w:rsidRPr="00517AF1">
        <w:rPr>
          <w:rFonts w:ascii="Cambria" w:hAnsi="Cambria"/>
        </w:rPr>
        <w:t xml:space="preserve">l’utilité du PCI réside dans un appel au recalibrage </w:t>
      </w:r>
      <w:r w:rsidR="00425D0E" w:rsidRPr="00517AF1">
        <w:rPr>
          <w:rFonts w:ascii="Cambria" w:hAnsi="Cambria"/>
        </w:rPr>
        <w:t>des ressources</w:t>
      </w:r>
      <w:r w:rsidRPr="00517AF1">
        <w:rPr>
          <w:rFonts w:ascii="Cambria" w:hAnsi="Cambria"/>
        </w:rPr>
        <w:t xml:space="preserve">. Pour les autres éléments, le PCI demandera une extension du champ d’intervention de l’État, non seulement selon une logique de documentation, mais également, et surtout, de production. La négociation politique </w:t>
      </w:r>
      <w:r w:rsidR="00586BFE" w:rsidRPr="00517AF1">
        <w:rPr>
          <w:rFonts w:ascii="Cambria" w:hAnsi="Cambria"/>
        </w:rPr>
        <w:t>jouera ici le même rôle qu’avec n’importe quel élément culturel.</w:t>
      </w:r>
    </w:p>
    <w:p w14:paraId="21D8765E" w14:textId="77777777" w:rsidR="008F1653" w:rsidRPr="00517AF1" w:rsidRDefault="008F1653" w:rsidP="00517AF1">
      <w:pPr>
        <w:jc w:val="both"/>
        <w:rPr>
          <w:rFonts w:ascii="Cambria" w:hAnsi="Cambria"/>
        </w:rPr>
      </w:pPr>
    </w:p>
    <w:p w14:paraId="654697EB" w14:textId="77777777" w:rsidR="00DE6968" w:rsidRPr="00517AF1" w:rsidRDefault="00DE6968" w:rsidP="00517AF1">
      <w:pPr>
        <w:jc w:val="both"/>
        <w:rPr>
          <w:rFonts w:ascii="Cambria" w:hAnsi="Cambria"/>
          <w:b/>
        </w:rPr>
      </w:pPr>
      <w:r w:rsidRPr="00517AF1">
        <w:rPr>
          <w:rFonts w:ascii="Cambria" w:hAnsi="Cambria"/>
          <w:b/>
        </w:rPr>
        <w:t>L’état des lieux du PCI au Québec</w:t>
      </w:r>
    </w:p>
    <w:p w14:paraId="603EEE62" w14:textId="77777777" w:rsidR="00DE6968" w:rsidRPr="00517AF1" w:rsidRDefault="00DE6968" w:rsidP="00517AF1">
      <w:pPr>
        <w:jc w:val="both"/>
        <w:rPr>
          <w:rFonts w:ascii="Cambria" w:hAnsi="Cambria"/>
        </w:rPr>
      </w:pPr>
    </w:p>
    <w:p w14:paraId="694C0189" w14:textId="12A9FEE3" w:rsidR="00DE6968" w:rsidRPr="00517AF1" w:rsidRDefault="00DE6968" w:rsidP="00517AF1">
      <w:pPr>
        <w:jc w:val="both"/>
        <w:rPr>
          <w:rFonts w:ascii="Cambria" w:hAnsi="Cambria"/>
        </w:rPr>
      </w:pPr>
      <w:r w:rsidRPr="00517AF1">
        <w:rPr>
          <w:rFonts w:ascii="Cambria" w:hAnsi="Cambria"/>
        </w:rPr>
        <w:t xml:space="preserve">Voici quelques figures </w:t>
      </w:r>
      <w:r w:rsidR="006550DB">
        <w:rPr>
          <w:rFonts w:ascii="Cambria" w:hAnsi="Cambria"/>
        </w:rPr>
        <w:t xml:space="preserve">tirées du rapport québécois sur le patrimoine immatériel, </w:t>
      </w:r>
      <w:r w:rsidRPr="00517AF1">
        <w:rPr>
          <w:rFonts w:ascii="Cambria" w:hAnsi="Cambria"/>
        </w:rPr>
        <w:t xml:space="preserve">choisies pour leur </w:t>
      </w:r>
      <w:r w:rsidR="00420333">
        <w:rPr>
          <w:rFonts w:ascii="Cambria" w:hAnsi="Cambria"/>
        </w:rPr>
        <w:t>pertinence</w:t>
      </w:r>
      <w:r w:rsidRPr="00517AF1">
        <w:rPr>
          <w:rFonts w:ascii="Cambria" w:hAnsi="Cambria"/>
        </w:rPr>
        <w:t xml:space="preserve"> et </w:t>
      </w:r>
      <w:r w:rsidR="00420333">
        <w:rPr>
          <w:rFonts w:ascii="Cambria" w:hAnsi="Cambria"/>
        </w:rPr>
        <w:t xml:space="preserve">leur potentiel </w:t>
      </w:r>
      <w:r w:rsidRPr="00517AF1">
        <w:rPr>
          <w:rFonts w:ascii="Cambria" w:hAnsi="Cambria"/>
        </w:rPr>
        <w:t>de changement.</w:t>
      </w:r>
    </w:p>
    <w:p w14:paraId="23E3E01B" w14:textId="77777777" w:rsidR="00DE6968" w:rsidRPr="00517AF1" w:rsidRDefault="00DE6968" w:rsidP="00517AF1">
      <w:pPr>
        <w:jc w:val="both"/>
        <w:rPr>
          <w:rFonts w:ascii="Cambria" w:hAnsi="Cambria"/>
        </w:rPr>
      </w:pPr>
    </w:p>
    <w:p w14:paraId="78191E88" w14:textId="77777777" w:rsidR="00DE6968" w:rsidRPr="00517AF1" w:rsidRDefault="00DE6968" w:rsidP="00517AF1">
      <w:pPr>
        <w:jc w:val="both"/>
        <w:rPr>
          <w:rFonts w:ascii="Cambria" w:hAnsi="Cambria"/>
        </w:rPr>
      </w:pPr>
      <w:r w:rsidRPr="00517AF1">
        <w:rPr>
          <w:rFonts w:ascii="Cambria" w:hAnsi="Cambria"/>
        </w:rPr>
        <w:t xml:space="preserve">Une carte générale des principaux acteurs associatifs en PCI demeure d’emblée une façon facile et rapide de saisir le déploiement territorial des efforts envers la culture traditionnelle. </w:t>
      </w:r>
    </w:p>
    <w:p w14:paraId="76B5467B" w14:textId="3FD5F7DE" w:rsidR="00DE6968" w:rsidRPr="00517AF1" w:rsidRDefault="00627ABD" w:rsidP="00517AF1">
      <w:pPr>
        <w:jc w:val="both"/>
        <w:rPr>
          <w:rFonts w:ascii="Cambria" w:hAnsi="Cambria"/>
        </w:rPr>
      </w:pPr>
      <w:r>
        <w:rPr>
          <w:rFonts w:ascii="Cambria" w:hAnsi="Cambria"/>
          <w:noProof/>
          <w:lang w:val="fr-FR"/>
        </w:rPr>
        <w:drawing>
          <wp:inline distT="0" distB="0" distL="0" distR="0" wp14:anchorId="0E92C842" wp14:editId="695AD28A">
            <wp:extent cx="6192644" cy="8013700"/>
            <wp:effectExtent l="0" t="0" r="508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 Qc pat vivant.pdf"/>
                    <pic:cNvPicPr/>
                  </pic:nvPicPr>
                  <pic:blipFill>
                    <a:blip r:embed="rId8">
                      <a:extLst>
                        <a:ext uri="{28A0092B-C50C-407E-A947-70E740481C1C}">
                          <a14:useLocalDpi xmlns:a14="http://schemas.microsoft.com/office/drawing/2010/main" val="0"/>
                        </a:ext>
                      </a:extLst>
                    </a:blip>
                    <a:stretch>
                      <a:fillRect/>
                    </a:stretch>
                  </pic:blipFill>
                  <pic:spPr>
                    <a:xfrm>
                      <a:off x="0" y="0"/>
                      <a:ext cx="6193414" cy="8014697"/>
                    </a:xfrm>
                    <a:prstGeom prst="rect">
                      <a:avLst/>
                    </a:prstGeom>
                  </pic:spPr>
                </pic:pic>
              </a:graphicData>
            </a:graphic>
          </wp:inline>
        </w:drawing>
      </w:r>
    </w:p>
    <w:p w14:paraId="235DDF49" w14:textId="77777777" w:rsidR="00DE6968" w:rsidRPr="00517AF1" w:rsidRDefault="00DE6968" w:rsidP="00517AF1">
      <w:pPr>
        <w:jc w:val="both"/>
        <w:rPr>
          <w:rFonts w:ascii="Cambria" w:hAnsi="Cambria"/>
        </w:rPr>
      </w:pPr>
    </w:p>
    <w:p w14:paraId="634BBE12" w14:textId="1189E2FF" w:rsidR="00DE6968" w:rsidRPr="00517AF1" w:rsidRDefault="00DE6968" w:rsidP="00517AF1">
      <w:pPr>
        <w:jc w:val="both"/>
        <w:rPr>
          <w:rFonts w:ascii="Cambria" w:hAnsi="Cambria"/>
        </w:rPr>
      </w:pPr>
      <w:r w:rsidRPr="00517AF1">
        <w:rPr>
          <w:rFonts w:ascii="Cambria" w:hAnsi="Cambria"/>
        </w:rPr>
        <w:t>La cartographie web suivante donne à voir le déploiement du réseau</w:t>
      </w:r>
      <w:r w:rsidR="006550DB">
        <w:rPr>
          <w:rFonts w:ascii="Cambria" w:hAnsi="Cambria"/>
        </w:rPr>
        <w:t xml:space="preserve"> ainsi que la performance web de chaque site</w:t>
      </w:r>
      <w:r w:rsidRPr="00517AF1">
        <w:rPr>
          <w:rFonts w:ascii="Cambria" w:hAnsi="Cambria"/>
        </w:rPr>
        <w:t xml:space="preserve">, selon le principe des liens entrants et sortants. Plus un point est gros, plus il réfère et est référé par d’autres sites internet. Plus il est situé au centre, plus il est en lien avec l’ensemble des autres sites du réseau, </w:t>
      </w:r>
      <w:r w:rsidR="006550DB">
        <w:rPr>
          <w:rFonts w:ascii="Cambria" w:hAnsi="Cambria"/>
        </w:rPr>
        <w:t>en tant que</w:t>
      </w:r>
      <w:r w:rsidRPr="00517AF1">
        <w:rPr>
          <w:rFonts w:ascii="Cambria" w:hAnsi="Cambria"/>
        </w:rPr>
        <w:t xml:space="preserve"> chemin le plus court entre eux. </w:t>
      </w:r>
    </w:p>
    <w:p w14:paraId="6BC7AE79" w14:textId="3FA7C520" w:rsidR="00DE6968" w:rsidRPr="00517AF1" w:rsidRDefault="00627ABD" w:rsidP="00517AF1">
      <w:pPr>
        <w:jc w:val="both"/>
        <w:rPr>
          <w:rFonts w:ascii="Cambria" w:hAnsi="Cambria"/>
        </w:rPr>
      </w:pPr>
      <w:r>
        <w:rPr>
          <w:rFonts w:ascii="Cambria" w:hAnsi="Cambria"/>
          <w:noProof/>
          <w:lang w:val="fr-FR"/>
        </w:rPr>
        <w:drawing>
          <wp:inline distT="0" distB="0" distL="0" distR="0" wp14:anchorId="22423199" wp14:editId="64CD500A">
            <wp:extent cx="5309383" cy="68707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gré entrant et sortant 2.pdf"/>
                    <pic:cNvPicPr/>
                  </pic:nvPicPr>
                  <pic:blipFill>
                    <a:blip r:embed="rId9">
                      <a:extLst>
                        <a:ext uri="{28A0092B-C50C-407E-A947-70E740481C1C}">
                          <a14:useLocalDpi xmlns:a14="http://schemas.microsoft.com/office/drawing/2010/main" val="0"/>
                        </a:ext>
                      </a:extLst>
                    </a:blip>
                    <a:stretch>
                      <a:fillRect/>
                    </a:stretch>
                  </pic:blipFill>
                  <pic:spPr>
                    <a:xfrm>
                      <a:off x="0" y="0"/>
                      <a:ext cx="5309383" cy="6870700"/>
                    </a:xfrm>
                    <a:prstGeom prst="rect">
                      <a:avLst/>
                    </a:prstGeom>
                  </pic:spPr>
                </pic:pic>
              </a:graphicData>
            </a:graphic>
          </wp:inline>
        </w:drawing>
      </w:r>
    </w:p>
    <w:p w14:paraId="667D5469" w14:textId="77777777" w:rsidR="00DE6968" w:rsidRPr="00517AF1" w:rsidRDefault="00DE6968" w:rsidP="00517AF1">
      <w:pPr>
        <w:jc w:val="both"/>
        <w:rPr>
          <w:rFonts w:ascii="Cambria" w:hAnsi="Cambria"/>
        </w:rPr>
      </w:pPr>
    </w:p>
    <w:p w14:paraId="711C351B" w14:textId="77777777" w:rsidR="00DE6968" w:rsidRPr="00517AF1" w:rsidRDefault="00DE6968" w:rsidP="00517AF1">
      <w:pPr>
        <w:jc w:val="both"/>
        <w:rPr>
          <w:rFonts w:ascii="Cambria" w:hAnsi="Cambria"/>
        </w:rPr>
      </w:pPr>
      <w:r w:rsidRPr="00517AF1">
        <w:rPr>
          <w:rFonts w:ascii="Cambria" w:hAnsi="Cambria"/>
        </w:rPr>
        <w:t xml:space="preserve">Les graphiques des moyennes de subvention au fonctionnement par organisme montrent que les associations en PCI jouissent d’un support moindre par rapport à des comparables.  </w:t>
      </w:r>
    </w:p>
    <w:p w14:paraId="622E3B67" w14:textId="77777777" w:rsidR="00DE6968" w:rsidRDefault="00DE6968" w:rsidP="00517AF1">
      <w:pPr>
        <w:jc w:val="both"/>
        <w:rPr>
          <w:rFonts w:ascii="Cambria" w:hAnsi="Cambria"/>
        </w:rPr>
      </w:pPr>
    </w:p>
    <w:p w14:paraId="1DCD74D9" w14:textId="542B78F4" w:rsidR="008B2444" w:rsidRPr="00517AF1" w:rsidRDefault="008B2444" w:rsidP="00517AF1">
      <w:pPr>
        <w:jc w:val="both"/>
        <w:rPr>
          <w:rFonts w:ascii="Cambria" w:hAnsi="Cambria"/>
        </w:rPr>
      </w:pPr>
      <w:r>
        <w:rPr>
          <w:rFonts w:ascii="Cambria" w:hAnsi="Cambria"/>
          <w:noProof/>
          <w:lang w:val="fr-FR"/>
        </w:rPr>
        <w:drawing>
          <wp:inline distT="0" distB="0" distL="0" distR="0" wp14:anchorId="22CC0AE0" wp14:editId="3736219B">
            <wp:extent cx="5454015" cy="7057864"/>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page 37.pdf"/>
                    <pic:cNvPicPr/>
                  </pic:nvPicPr>
                  <pic:blipFill>
                    <a:blip r:embed="rId10">
                      <a:extLst>
                        <a:ext uri="{28A0092B-C50C-407E-A947-70E740481C1C}">
                          <a14:useLocalDpi xmlns:a14="http://schemas.microsoft.com/office/drawing/2010/main" val="0"/>
                        </a:ext>
                      </a:extLst>
                    </a:blip>
                    <a:stretch>
                      <a:fillRect/>
                    </a:stretch>
                  </pic:blipFill>
                  <pic:spPr>
                    <a:xfrm>
                      <a:off x="0" y="0"/>
                      <a:ext cx="5454015" cy="7057864"/>
                    </a:xfrm>
                    <a:prstGeom prst="rect">
                      <a:avLst/>
                    </a:prstGeom>
                  </pic:spPr>
                </pic:pic>
              </a:graphicData>
            </a:graphic>
          </wp:inline>
        </w:drawing>
      </w:r>
    </w:p>
    <w:p w14:paraId="22A9BC28" w14:textId="1A29BEC7" w:rsidR="00DE6968" w:rsidRDefault="008B2444" w:rsidP="00517AF1">
      <w:pPr>
        <w:jc w:val="both"/>
        <w:rPr>
          <w:rFonts w:ascii="Cambria" w:hAnsi="Cambria"/>
        </w:rPr>
      </w:pPr>
      <w:r>
        <w:rPr>
          <w:rFonts w:ascii="Cambria" w:hAnsi="Cambria"/>
          <w:noProof/>
          <w:lang w:val="fr-FR"/>
        </w:rPr>
        <w:drawing>
          <wp:inline distT="0" distB="0" distL="0" distR="0" wp14:anchorId="4E88A5EB" wp14:editId="45341764">
            <wp:extent cx="5972810" cy="772922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page 39.pdf"/>
                    <pic:cNvPicPr/>
                  </pic:nvPicPr>
                  <pic:blipFill>
                    <a:blip r:embed="rId11">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p>
    <w:p w14:paraId="7A72355C" w14:textId="77777777" w:rsidR="008B2444" w:rsidRDefault="008B2444" w:rsidP="00517AF1">
      <w:pPr>
        <w:jc w:val="both"/>
        <w:rPr>
          <w:rFonts w:ascii="Cambria" w:hAnsi="Cambria"/>
        </w:rPr>
      </w:pPr>
    </w:p>
    <w:p w14:paraId="0A76090E" w14:textId="33FA148A" w:rsidR="008B2444" w:rsidRPr="00517AF1" w:rsidRDefault="008B2444" w:rsidP="00517AF1">
      <w:pPr>
        <w:jc w:val="both"/>
        <w:rPr>
          <w:rFonts w:ascii="Cambria" w:hAnsi="Cambria"/>
        </w:rPr>
      </w:pPr>
      <w:r>
        <w:rPr>
          <w:rFonts w:ascii="Cambria" w:hAnsi="Cambria"/>
          <w:noProof/>
          <w:lang w:val="fr-FR"/>
        </w:rPr>
        <w:drawing>
          <wp:inline distT="0" distB="0" distL="0" distR="0" wp14:anchorId="1BF2B067" wp14:editId="0E9C509E">
            <wp:extent cx="5972810" cy="772922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page 40.pdf"/>
                    <pic:cNvPicPr/>
                  </pic:nvPicPr>
                  <pic:blipFill>
                    <a:blip r:embed="rId12">
                      <a:extLst>
                        <a:ext uri="{28A0092B-C50C-407E-A947-70E740481C1C}">
                          <a14:useLocalDpi xmlns:a14="http://schemas.microsoft.com/office/drawing/2010/main" val="0"/>
                        </a:ext>
                      </a:extLst>
                    </a:blip>
                    <a:stretch>
                      <a:fillRect/>
                    </a:stretch>
                  </pic:blipFill>
                  <pic:spPr>
                    <a:xfrm>
                      <a:off x="0" y="0"/>
                      <a:ext cx="5972810" cy="7729220"/>
                    </a:xfrm>
                    <a:prstGeom prst="rect">
                      <a:avLst/>
                    </a:prstGeom>
                  </pic:spPr>
                </pic:pic>
              </a:graphicData>
            </a:graphic>
          </wp:inline>
        </w:drawing>
      </w:r>
    </w:p>
    <w:p w14:paraId="64A406EC" w14:textId="0606E9D0" w:rsidR="00DE6968" w:rsidRPr="00517AF1" w:rsidRDefault="00DE6968" w:rsidP="00517AF1">
      <w:pPr>
        <w:jc w:val="both"/>
        <w:rPr>
          <w:rFonts w:ascii="Cambria" w:hAnsi="Cambria"/>
        </w:rPr>
      </w:pPr>
      <w:r w:rsidRPr="00517AF1">
        <w:rPr>
          <w:rFonts w:ascii="Cambria" w:hAnsi="Cambria"/>
        </w:rPr>
        <w:t xml:space="preserve">Le tableau sur la présence de la musique traditionnelle dans la sphère publique permet </w:t>
      </w:r>
      <w:r w:rsidR="005A28A7">
        <w:rPr>
          <w:rFonts w:ascii="Cambria" w:hAnsi="Cambria"/>
        </w:rPr>
        <w:t xml:space="preserve">quant à lui </w:t>
      </w:r>
      <w:r w:rsidRPr="00517AF1">
        <w:rPr>
          <w:rFonts w:ascii="Cambria" w:hAnsi="Cambria"/>
        </w:rPr>
        <w:t xml:space="preserve">de constater les endroits où une présence accrue de cette discipline apparait justifiée, en fonction des mandats des diverses instances concernées. </w:t>
      </w:r>
    </w:p>
    <w:p w14:paraId="03AA7503" w14:textId="77777777" w:rsidR="00DE6968" w:rsidRPr="00517AF1" w:rsidRDefault="00DE6968" w:rsidP="00517AF1">
      <w:pPr>
        <w:jc w:val="both"/>
        <w:rPr>
          <w:rFonts w:ascii="Cambria" w:hAnsi="Cambria"/>
        </w:rPr>
      </w:pPr>
    </w:p>
    <w:p w14:paraId="43136F28" w14:textId="4AEF1E30" w:rsidR="004A160B" w:rsidRDefault="002C0FDF" w:rsidP="00517AF1">
      <w:pPr>
        <w:jc w:val="both"/>
        <w:rPr>
          <w:rFonts w:ascii="Cambria" w:hAnsi="Cambria"/>
          <w:noProof/>
          <w:lang w:val="fr-FR"/>
        </w:rPr>
      </w:pPr>
      <w:r>
        <w:rPr>
          <w:rFonts w:ascii="Cambria" w:hAnsi="Cambria"/>
          <w:noProof/>
          <w:lang w:val="fr-FR"/>
        </w:rPr>
        <w:drawing>
          <wp:inline distT="0" distB="0" distL="0" distR="0" wp14:anchorId="5266068E" wp14:editId="2F165DBD">
            <wp:extent cx="3657600" cy="48006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au Place musique-2.pdf"/>
                    <pic:cNvPicPr/>
                  </pic:nvPicPr>
                  <pic:blipFill>
                    <a:blip r:embed="rId13">
                      <a:extLst>
                        <a:ext uri="{28A0092B-C50C-407E-A947-70E740481C1C}">
                          <a14:useLocalDpi xmlns:a14="http://schemas.microsoft.com/office/drawing/2010/main" val="0"/>
                        </a:ext>
                      </a:extLst>
                    </a:blip>
                    <a:stretch>
                      <a:fillRect/>
                    </a:stretch>
                  </pic:blipFill>
                  <pic:spPr>
                    <a:xfrm>
                      <a:off x="0" y="0"/>
                      <a:ext cx="3657600" cy="4800600"/>
                    </a:xfrm>
                    <a:prstGeom prst="rect">
                      <a:avLst/>
                    </a:prstGeom>
                  </pic:spPr>
                </pic:pic>
              </a:graphicData>
            </a:graphic>
          </wp:inline>
        </w:drawing>
      </w:r>
    </w:p>
    <w:p w14:paraId="5B9C3855" w14:textId="77777777" w:rsidR="004A160B" w:rsidRDefault="004A160B" w:rsidP="00517AF1">
      <w:pPr>
        <w:jc w:val="both"/>
        <w:rPr>
          <w:rFonts w:ascii="Cambria" w:hAnsi="Cambria"/>
          <w:noProof/>
          <w:lang w:val="fr-FR"/>
        </w:rPr>
      </w:pPr>
    </w:p>
    <w:p w14:paraId="4B6D993E" w14:textId="38983AC5" w:rsidR="00DE6968" w:rsidRPr="004A160B" w:rsidRDefault="00DE6968" w:rsidP="00517AF1">
      <w:pPr>
        <w:jc w:val="both"/>
        <w:rPr>
          <w:rFonts w:ascii="Cambria" w:hAnsi="Cambria"/>
        </w:rPr>
      </w:pPr>
      <w:r w:rsidRPr="00517AF1">
        <w:rPr>
          <w:rFonts w:ascii="Cambria" w:hAnsi="Cambria"/>
          <w:b/>
        </w:rPr>
        <w:t>Conclusion</w:t>
      </w:r>
    </w:p>
    <w:p w14:paraId="7E91F803" w14:textId="77777777" w:rsidR="000408ED" w:rsidRPr="00517AF1" w:rsidRDefault="000408ED" w:rsidP="00517AF1">
      <w:pPr>
        <w:jc w:val="both"/>
        <w:rPr>
          <w:rFonts w:ascii="Cambria" w:hAnsi="Cambria"/>
        </w:rPr>
      </w:pPr>
    </w:p>
    <w:p w14:paraId="61E21463" w14:textId="1C5C0492" w:rsidR="00586BFE" w:rsidRPr="00517AF1" w:rsidRDefault="00586BFE" w:rsidP="00517AF1">
      <w:pPr>
        <w:jc w:val="both"/>
        <w:rPr>
          <w:rFonts w:ascii="Cambria" w:hAnsi="Cambria"/>
        </w:rPr>
      </w:pPr>
      <w:r w:rsidRPr="00517AF1">
        <w:rPr>
          <w:rFonts w:ascii="Cambria" w:hAnsi="Cambria"/>
        </w:rPr>
        <w:t xml:space="preserve">Une gestion </w:t>
      </w:r>
      <w:r w:rsidR="002C0FDF">
        <w:rPr>
          <w:rFonts w:ascii="Cambria" w:hAnsi="Cambria"/>
        </w:rPr>
        <w:t xml:space="preserve">romantique </w:t>
      </w:r>
      <w:r w:rsidRPr="00517AF1">
        <w:rPr>
          <w:rFonts w:ascii="Cambria" w:hAnsi="Cambria"/>
        </w:rPr>
        <w:t xml:space="preserve">du PCI </w:t>
      </w:r>
      <w:r w:rsidR="00573BBF">
        <w:rPr>
          <w:rFonts w:ascii="Cambria" w:hAnsi="Cambria"/>
        </w:rPr>
        <w:t>selon de</w:t>
      </w:r>
      <w:r w:rsidRPr="00517AF1">
        <w:rPr>
          <w:rFonts w:ascii="Cambria" w:hAnsi="Cambria"/>
        </w:rPr>
        <w:t xml:space="preserve"> belles photos colorées de projets ruraux, </w:t>
      </w:r>
      <w:r w:rsidR="00573BBF">
        <w:rPr>
          <w:rFonts w:ascii="Cambria" w:hAnsi="Cambria"/>
        </w:rPr>
        <w:t>en fonction de</w:t>
      </w:r>
      <w:r w:rsidRPr="00517AF1">
        <w:rPr>
          <w:rFonts w:ascii="Cambria" w:hAnsi="Cambria"/>
        </w:rPr>
        <w:t xml:space="preserve"> fantasmes anthropologiques plus ou moins bien définis, exclut le plus souvent l’évidence : le développement public de pratiques nécessite (et engendre) des ressources économiques</w:t>
      </w:r>
      <w:r w:rsidR="00104671" w:rsidRPr="00517AF1">
        <w:rPr>
          <w:rFonts w:ascii="Cambria" w:hAnsi="Cambria"/>
        </w:rPr>
        <w:t xml:space="preserve"> qui </w:t>
      </w:r>
      <w:r w:rsidR="00425D0E" w:rsidRPr="00517AF1">
        <w:rPr>
          <w:rFonts w:ascii="Cambria" w:hAnsi="Cambria"/>
        </w:rPr>
        <w:t>comprennent des causes et des</w:t>
      </w:r>
      <w:r w:rsidR="00104671" w:rsidRPr="00517AF1">
        <w:rPr>
          <w:rFonts w:ascii="Cambria" w:hAnsi="Cambria"/>
        </w:rPr>
        <w:t xml:space="preserve"> effets le plus souvent mesurables</w:t>
      </w:r>
      <w:r w:rsidRPr="00517AF1">
        <w:rPr>
          <w:rFonts w:ascii="Cambria" w:hAnsi="Cambria"/>
        </w:rPr>
        <w:t xml:space="preserve">. </w:t>
      </w:r>
    </w:p>
    <w:p w14:paraId="018B5AE3" w14:textId="77777777" w:rsidR="00104671" w:rsidRPr="00517AF1" w:rsidRDefault="00104671" w:rsidP="00517AF1">
      <w:pPr>
        <w:jc w:val="both"/>
        <w:rPr>
          <w:rFonts w:ascii="Cambria" w:hAnsi="Cambria"/>
        </w:rPr>
      </w:pPr>
    </w:p>
    <w:p w14:paraId="03E7C8D3" w14:textId="3E587B18" w:rsidR="00DE6968" w:rsidRPr="00517AF1" w:rsidRDefault="00DE6968" w:rsidP="00517AF1">
      <w:pPr>
        <w:jc w:val="both"/>
        <w:rPr>
          <w:rFonts w:ascii="Cambria" w:hAnsi="Cambria"/>
        </w:rPr>
      </w:pPr>
      <w:r w:rsidRPr="00517AF1">
        <w:rPr>
          <w:rFonts w:ascii="Cambria" w:hAnsi="Cambria"/>
        </w:rPr>
        <w:t>Un travail de mesure du PCI</w:t>
      </w:r>
      <w:r w:rsidR="00663713">
        <w:rPr>
          <w:rFonts w:ascii="Cambria" w:hAnsi="Cambria"/>
        </w:rPr>
        <w:t xml:space="preserve"> </w:t>
      </w:r>
      <w:r w:rsidR="00D21789">
        <w:rPr>
          <w:rFonts w:ascii="Cambria" w:hAnsi="Cambria"/>
        </w:rPr>
        <w:t>représente</w:t>
      </w:r>
      <w:r w:rsidR="00663713">
        <w:rPr>
          <w:rFonts w:ascii="Cambria" w:hAnsi="Cambria"/>
        </w:rPr>
        <w:t xml:space="preserve"> une bonne alternative, voire un </w:t>
      </w:r>
      <w:r w:rsidRPr="00517AF1">
        <w:rPr>
          <w:rFonts w:ascii="Cambria" w:hAnsi="Cambria"/>
        </w:rPr>
        <w:t>complément</w:t>
      </w:r>
      <w:r w:rsidR="00663713">
        <w:rPr>
          <w:rFonts w:ascii="Cambria" w:hAnsi="Cambria"/>
        </w:rPr>
        <w:t xml:space="preserve"> nécessaire</w:t>
      </w:r>
      <w:r w:rsidRPr="00517AF1">
        <w:rPr>
          <w:rFonts w:ascii="Cambria" w:hAnsi="Cambria"/>
        </w:rPr>
        <w:t xml:space="preserve"> aux inventaires. Il </w:t>
      </w:r>
      <w:r w:rsidR="00D21789">
        <w:rPr>
          <w:rFonts w:ascii="Cambria" w:hAnsi="Cambria"/>
        </w:rPr>
        <w:t>fourbit</w:t>
      </w:r>
      <w:r w:rsidRPr="00517AF1">
        <w:rPr>
          <w:rFonts w:ascii="Cambria" w:hAnsi="Cambria"/>
        </w:rPr>
        <w:t xml:space="preserve"> des armes statistiques aux praticiens (et aux organismes qui les regroupent) pour revoir le système d’intervention publique en culture de façon équitable pour tous.</w:t>
      </w:r>
      <w:r w:rsidR="00C61E24">
        <w:rPr>
          <w:rFonts w:ascii="Cambria" w:hAnsi="Cambria"/>
        </w:rPr>
        <w:t xml:space="preserve"> </w:t>
      </w:r>
      <w:r w:rsidR="00D21789">
        <w:rPr>
          <w:rFonts w:ascii="Cambria" w:hAnsi="Cambria"/>
        </w:rPr>
        <w:t xml:space="preserve">Il fournit des outils aux pouvoirs publics pour agir plus efficacement en ce sens. </w:t>
      </w:r>
      <w:r w:rsidR="00C61E24">
        <w:rPr>
          <w:rFonts w:ascii="Cambria" w:hAnsi="Cambria"/>
        </w:rPr>
        <w:t xml:space="preserve">Il permet d’envisager </w:t>
      </w:r>
      <w:r w:rsidR="005A28A7">
        <w:rPr>
          <w:rFonts w:ascii="Cambria" w:hAnsi="Cambria"/>
        </w:rPr>
        <w:t xml:space="preserve">les éléments du PCI </w:t>
      </w:r>
      <w:r w:rsidR="00FA242B">
        <w:rPr>
          <w:rFonts w:ascii="Cambria" w:hAnsi="Cambria"/>
        </w:rPr>
        <w:t>de la même façon que</w:t>
      </w:r>
      <w:r w:rsidR="005A28A7">
        <w:rPr>
          <w:rFonts w:ascii="Cambria" w:hAnsi="Cambria"/>
        </w:rPr>
        <w:t xml:space="preserve"> les autres domaines comparables, </w:t>
      </w:r>
      <w:r w:rsidR="004A160B">
        <w:rPr>
          <w:rFonts w:ascii="Cambria" w:hAnsi="Cambria"/>
        </w:rPr>
        <w:t xml:space="preserve">s’il y a lieu, </w:t>
      </w:r>
      <w:r w:rsidR="005A28A7">
        <w:rPr>
          <w:rFonts w:ascii="Cambria" w:hAnsi="Cambria"/>
        </w:rPr>
        <w:t>en laissant les praticiens décider des moyens pour développer leur pratique.</w:t>
      </w:r>
      <w:bookmarkStart w:id="0" w:name="_GoBack"/>
      <w:bookmarkEnd w:id="0"/>
    </w:p>
    <w:p w14:paraId="7D9C2DFA" w14:textId="77777777" w:rsidR="00E96206" w:rsidRDefault="00E96206" w:rsidP="00517AF1">
      <w:pPr>
        <w:jc w:val="both"/>
        <w:rPr>
          <w:rFonts w:ascii="Cambria" w:hAnsi="Cambria"/>
        </w:rPr>
      </w:pPr>
    </w:p>
    <w:p w14:paraId="70CBFDF5" w14:textId="77777777" w:rsidR="00627ABD" w:rsidRDefault="00627ABD" w:rsidP="00517AF1">
      <w:pPr>
        <w:jc w:val="both"/>
        <w:rPr>
          <w:rFonts w:ascii="Cambria" w:hAnsi="Cambria"/>
        </w:rPr>
      </w:pPr>
    </w:p>
    <w:p w14:paraId="5CDA8515" w14:textId="77777777" w:rsidR="00627ABD" w:rsidRDefault="00627ABD" w:rsidP="00517AF1">
      <w:pPr>
        <w:jc w:val="both"/>
        <w:rPr>
          <w:rFonts w:ascii="Cambria" w:hAnsi="Cambria"/>
        </w:rPr>
      </w:pPr>
    </w:p>
    <w:p w14:paraId="463051D1" w14:textId="77777777" w:rsidR="00627ABD" w:rsidRDefault="00627ABD" w:rsidP="00517AF1">
      <w:pPr>
        <w:jc w:val="both"/>
        <w:rPr>
          <w:rFonts w:ascii="Cambria" w:hAnsi="Cambria"/>
        </w:rPr>
      </w:pPr>
    </w:p>
    <w:p w14:paraId="68D5714A" w14:textId="77777777" w:rsidR="003751D5" w:rsidRPr="00517AF1" w:rsidRDefault="003751D5" w:rsidP="00517AF1">
      <w:pPr>
        <w:jc w:val="both"/>
        <w:rPr>
          <w:rFonts w:ascii="Cambria" w:hAnsi="Cambria"/>
        </w:rPr>
      </w:pPr>
    </w:p>
    <w:p w14:paraId="4990AF04" w14:textId="77777777" w:rsidR="00222C03" w:rsidRPr="00517AF1" w:rsidRDefault="00222C03" w:rsidP="00517AF1">
      <w:pPr>
        <w:jc w:val="both"/>
        <w:rPr>
          <w:rFonts w:ascii="Cambria" w:hAnsi="Cambria"/>
          <w:i/>
        </w:rPr>
      </w:pPr>
    </w:p>
    <w:p w14:paraId="4E970877" w14:textId="30FCDB97" w:rsidR="00222C03" w:rsidRPr="00517AF1" w:rsidRDefault="00222C03" w:rsidP="00517AF1">
      <w:pPr>
        <w:jc w:val="both"/>
        <w:rPr>
          <w:rFonts w:ascii="Cambria" w:hAnsi="Cambria"/>
          <w:b/>
          <w:i/>
        </w:rPr>
      </w:pPr>
      <w:r w:rsidRPr="00517AF1">
        <w:rPr>
          <w:rFonts w:ascii="Cambria" w:hAnsi="Cambria"/>
          <w:b/>
          <w:i/>
        </w:rPr>
        <w:t>Biographie :</w:t>
      </w:r>
    </w:p>
    <w:p w14:paraId="2FF34350" w14:textId="75442FE1" w:rsidR="00222C03" w:rsidRPr="00517AF1" w:rsidRDefault="00222C03" w:rsidP="00517AF1">
      <w:pPr>
        <w:jc w:val="both"/>
        <w:rPr>
          <w:rFonts w:ascii="Cambria" w:hAnsi="Cambria"/>
          <w:i/>
        </w:rPr>
      </w:pPr>
      <w:r w:rsidRPr="00517AF1">
        <w:rPr>
          <w:rFonts w:ascii="Cambria" w:hAnsi="Cambria"/>
          <w:i/>
        </w:rPr>
        <w:t xml:space="preserve">Antoine Gauthier est </w:t>
      </w:r>
      <w:r w:rsidR="005540B0" w:rsidRPr="00517AF1">
        <w:rPr>
          <w:rFonts w:ascii="Cambria" w:hAnsi="Cambria"/>
          <w:i/>
        </w:rPr>
        <w:t xml:space="preserve">directeur général </w:t>
      </w:r>
      <w:r w:rsidRPr="00517AF1">
        <w:rPr>
          <w:rFonts w:ascii="Cambria" w:hAnsi="Cambria"/>
          <w:i/>
        </w:rPr>
        <w:t xml:space="preserve">du </w:t>
      </w:r>
      <w:r w:rsidR="005540B0" w:rsidRPr="00517AF1">
        <w:rPr>
          <w:rFonts w:ascii="Cambria" w:hAnsi="Cambria"/>
          <w:i/>
        </w:rPr>
        <w:t>Conseil québécois</w:t>
      </w:r>
      <w:r w:rsidRPr="00517AF1">
        <w:rPr>
          <w:rFonts w:ascii="Cambria" w:hAnsi="Cambria"/>
          <w:i/>
        </w:rPr>
        <w:t xml:space="preserve"> </w:t>
      </w:r>
      <w:r w:rsidR="005540B0" w:rsidRPr="00517AF1">
        <w:rPr>
          <w:rFonts w:ascii="Cambria" w:hAnsi="Cambria"/>
          <w:i/>
        </w:rPr>
        <w:t xml:space="preserve">du patrimoine vivant (CQPV) </w:t>
      </w:r>
      <w:r w:rsidRPr="00517AF1">
        <w:rPr>
          <w:rFonts w:ascii="Cambria" w:hAnsi="Cambria"/>
          <w:i/>
        </w:rPr>
        <w:t xml:space="preserve">depuis 2009. </w:t>
      </w:r>
      <w:r w:rsidR="00497808">
        <w:rPr>
          <w:rFonts w:ascii="Cambria" w:hAnsi="Cambria"/>
          <w:i/>
        </w:rPr>
        <w:t xml:space="preserve">Il a notamment dirigé la publication de l’ouvrage </w:t>
      </w:r>
      <w:r w:rsidR="00497808" w:rsidRPr="00497808">
        <w:rPr>
          <w:rFonts w:ascii="Cambria" w:hAnsi="Cambria"/>
        </w:rPr>
        <w:t>Les mesures de soutien au patrimoine immatériel</w:t>
      </w:r>
      <w:r w:rsidR="00497808">
        <w:rPr>
          <w:rFonts w:ascii="Cambria" w:hAnsi="Cambria"/>
          <w:i/>
        </w:rPr>
        <w:t xml:space="preserve"> (2012). </w:t>
      </w:r>
      <w:r w:rsidR="005540B0" w:rsidRPr="00517AF1">
        <w:rPr>
          <w:rFonts w:ascii="Cambria" w:hAnsi="Cambria"/>
          <w:i/>
        </w:rPr>
        <w:t xml:space="preserve">Il agit en outre comme expert en patrimoine immatériel </w:t>
      </w:r>
      <w:r w:rsidR="00863B45">
        <w:rPr>
          <w:rFonts w:ascii="Cambria" w:hAnsi="Cambria"/>
          <w:i/>
        </w:rPr>
        <w:t>à l’échelle nationale et internationale</w:t>
      </w:r>
      <w:r w:rsidR="005540B0" w:rsidRPr="00517AF1">
        <w:rPr>
          <w:rFonts w:ascii="Cambria" w:hAnsi="Cambria"/>
          <w:i/>
        </w:rPr>
        <w:t xml:space="preserve">. </w:t>
      </w:r>
      <w:r w:rsidR="00497808">
        <w:rPr>
          <w:rFonts w:ascii="Cambria" w:hAnsi="Cambria"/>
          <w:i/>
        </w:rPr>
        <w:t>M. Gauthier</w:t>
      </w:r>
      <w:r w:rsidRPr="00517AF1">
        <w:rPr>
          <w:rFonts w:ascii="Cambria" w:hAnsi="Cambria"/>
          <w:i/>
        </w:rPr>
        <w:t xml:space="preserve"> a notamment œuvré au sein de l’Organisation des villes du patrimoine mondial, de la Chaire UNESCO en patrimoine</w:t>
      </w:r>
      <w:r w:rsidR="005540B0" w:rsidRPr="00517AF1">
        <w:rPr>
          <w:rFonts w:ascii="Cambria" w:hAnsi="Cambria"/>
          <w:i/>
        </w:rPr>
        <w:t xml:space="preserve"> culturel de l’Université Laval et</w:t>
      </w:r>
      <w:r w:rsidRPr="00517AF1">
        <w:rPr>
          <w:rFonts w:ascii="Cambria" w:hAnsi="Cambria"/>
          <w:i/>
        </w:rPr>
        <w:t xml:space="preserve"> du Secrétariat d’organisation du 12e Sommet de la Francophonie et de la Fédération internationale des auberges de jeunesse. Il détient une maîtrise en relations internationales de l’Institut québécois des hautes études internationales ainsi qu’une maîtrise en philosophie de l’Université de Montréal. À titre de musicien et de chercheur, il a été plusieurs fois boursier des conseils des arts du Québec et du Canada.</w:t>
      </w:r>
    </w:p>
    <w:sectPr w:rsidR="00222C03" w:rsidRPr="00517AF1" w:rsidSect="002B1B40">
      <w:footerReference w:type="even" r:id="rId14"/>
      <w:footerReference w:type="default" r:id="rId15"/>
      <w:pgSz w:w="12240" w:h="15840"/>
      <w:pgMar w:top="1417" w:right="1417" w:bottom="1417" w:left="1417"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7D18A8" w14:textId="77777777" w:rsidR="0071075D" w:rsidRDefault="0071075D" w:rsidP="00D14C61">
      <w:r>
        <w:separator/>
      </w:r>
    </w:p>
  </w:endnote>
  <w:endnote w:type="continuationSeparator" w:id="0">
    <w:p w14:paraId="11959749" w14:textId="77777777" w:rsidR="0071075D" w:rsidRDefault="0071075D" w:rsidP="00D14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35992" w14:textId="77777777" w:rsidR="0071075D" w:rsidRDefault="0071075D" w:rsidP="0020793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62EC36E8" w14:textId="77777777" w:rsidR="0071075D" w:rsidRDefault="0071075D" w:rsidP="00D14C61">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E9BFE4" w14:textId="77777777" w:rsidR="0071075D" w:rsidRDefault="0071075D" w:rsidP="0020793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2C0FDF">
      <w:rPr>
        <w:rStyle w:val="Numrodepage"/>
        <w:noProof/>
      </w:rPr>
      <w:t>1</w:t>
    </w:r>
    <w:r>
      <w:rPr>
        <w:rStyle w:val="Numrodepage"/>
      </w:rPr>
      <w:fldChar w:fldCharType="end"/>
    </w:r>
  </w:p>
  <w:p w14:paraId="2EFB333F" w14:textId="77777777" w:rsidR="0071075D" w:rsidRDefault="0071075D" w:rsidP="00D14C61">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72EF7B" w14:textId="77777777" w:rsidR="0071075D" w:rsidRDefault="0071075D" w:rsidP="00D14C61">
      <w:r>
        <w:separator/>
      </w:r>
    </w:p>
  </w:footnote>
  <w:footnote w:type="continuationSeparator" w:id="0">
    <w:p w14:paraId="40259E90" w14:textId="77777777" w:rsidR="0071075D" w:rsidRDefault="0071075D" w:rsidP="00D14C61">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A36F8"/>
    <w:multiLevelType w:val="hybridMultilevel"/>
    <w:tmpl w:val="17A6C4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5BB61874"/>
    <w:multiLevelType w:val="hybridMultilevel"/>
    <w:tmpl w:val="24EA6E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5D5B2A61"/>
    <w:multiLevelType w:val="multilevel"/>
    <w:tmpl w:val="0388C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FB733FE"/>
    <w:multiLevelType w:val="hybridMultilevel"/>
    <w:tmpl w:val="AF84010E"/>
    <w:lvl w:ilvl="0" w:tplc="98DA8D42">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6F04728"/>
    <w:multiLevelType w:val="hybridMultilevel"/>
    <w:tmpl w:val="8572D866"/>
    <w:lvl w:ilvl="0" w:tplc="5F3601B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defaultTabStop w:val="708"/>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4E0B"/>
    <w:rsid w:val="00000890"/>
    <w:rsid w:val="00006C2A"/>
    <w:rsid w:val="000073A7"/>
    <w:rsid w:val="00007E8B"/>
    <w:rsid w:val="000105C1"/>
    <w:rsid w:val="00013112"/>
    <w:rsid w:val="00013C63"/>
    <w:rsid w:val="00013D2D"/>
    <w:rsid w:val="000147D5"/>
    <w:rsid w:val="00016C20"/>
    <w:rsid w:val="000178E8"/>
    <w:rsid w:val="00017D13"/>
    <w:rsid w:val="00021D1E"/>
    <w:rsid w:val="00021FE2"/>
    <w:rsid w:val="00023EBA"/>
    <w:rsid w:val="00030CC9"/>
    <w:rsid w:val="00031E33"/>
    <w:rsid w:val="000337F3"/>
    <w:rsid w:val="00033D4D"/>
    <w:rsid w:val="000406C5"/>
    <w:rsid w:val="000408ED"/>
    <w:rsid w:val="00042773"/>
    <w:rsid w:val="000436EE"/>
    <w:rsid w:val="00045F17"/>
    <w:rsid w:val="0004726B"/>
    <w:rsid w:val="000539D7"/>
    <w:rsid w:val="00054B40"/>
    <w:rsid w:val="00055158"/>
    <w:rsid w:val="00057969"/>
    <w:rsid w:val="00057C11"/>
    <w:rsid w:val="0006062B"/>
    <w:rsid w:val="00064BB5"/>
    <w:rsid w:val="00064D61"/>
    <w:rsid w:val="000677C7"/>
    <w:rsid w:val="000726B1"/>
    <w:rsid w:val="000730F8"/>
    <w:rsid w:val="000770ED"/>
    <w:rsid w:val="00080672"/>
    <w:rsid w:val="00082C01"/>
    <w:rsid w:val="00082E48"/>
    <w:rsid w:val="000845A2"/>
    <w:rsid w:val="00085418"/>
    <w:rsid w:val="00085B28"/>
    <w:rsid w:val="0008669A"/>
    <w:rsid w:val="000866F8"/>
    <w:rsid w:val="00092C0D"/>
    <w:rsid w:val="000940D2"/>
    <w:rsid w:val="00096576"/>
    <w:rsid w:val="00096E4F"/>
    <w:rsid w:val="000972FB"/>
    <w:rsid w:val="000A07C8"/>
    <w:rsid w:val="000A1779"/>
    <w:rsid w:val="000A2B71"/>
    <w:rsid w:val="000A2CEC"/>
    <w:rsid w:val="000A3135"/>
    <w:rsid w:val="000A3222"/>
    <w:rsid w:val="000A6B58"/>
    <w:rsid w:val="000A79AF"/>
    <w:rsid w:val="000B0C13"/>
    <w:rsid w:val="000B1B04"/>
    <w:rsid w:val="000B30C6"/>
    <w:rsid w:val="000C022A"/>
    <w:rsid w:val="000C402D"/>
    <w:rsid w:val="000C48D6"/>
    <w:rsid w:val="000D0096"/>
    <w:rsid w:val="000E0965"/>
    <w:rsid w:val="000E42DA"/>
    <w:rsid w:val="000E6607"/>
    <w:rsid w:val="000E6F49"/>
    <w:rsid w:val="000E7E29"/>
    <w:rsid w:val="000F2A2E"/>
    <w:rsid w:val="000F4669"/>
    <w:rsid w:val="001007C2"/>
    <w:rsid w:val="00100FDC"/>
    <w:rsid w:val="001014A6"/>
    <w:rsid w:val="00101B96"/>
    <w:rsid w:val="00102C37"/>
    <w:rsid w:val="0010456D"/>
    <w:rsid w:val="00104671"/>
    <w:rsid w:val="00105518"/>
    <w:rsid w:val="00105D91"/>
    <w:rsid w:val="001108B3"/>
    <w:rsid w:val="0011274A"/>
    <w:rsid w:val="00113221"/>
    <w:rsid w:val="00113C19"/>
    <w:rsid w:val="00117A2B"/>
    <w:rsid w:val="00117E57"/>
    <w:rsid w:val="00122F3F"/>
    <w:rsid w:val="00124F8A"/>
    <w:rsid w:val="001306D9"/>
    <w:rsid w:val="001330A6"/>
    <w:rsid w:val="0013444E"/>
    <w:rsid w:val="0014524F"/>
    <w:rsid w:val="00145EB0"/>
    <w:rsid w:val="001517B8"/>
    <w:rsid w:val="0015237B"/>
    <w:rsid w:val="001545DC"/>
    <w:rsid w:val="0015460D"/>
    <w:rsid w:val="0015614A"/>
    <w:rsid w:val="001608F3"/>
    <w:rsid w:val="00162003"/>
    <w:rsid w:val="001641FA"/>
    <w:rsid w:val="001649DC"/>
    <w:rsid w:val="00165955"/>
    <w:rsid w:val="0017427F"/>
    <w:rsid w:val="00181A8F"/>
    <w:rsid w:val="00182030"/>
    <w:rsid w:val="0018340C"/>
    <w:rsid w:val="00190887"/>
    <w:rsid w:val="00193260"/>
    <w:rsid w:val="001967AB"/>
    <w:rsid w:val="001A20A9"/>
    <w:rsid w:val="001A21F1"/>
    <w:rsid w:val="001A2883"/>
    <w:rsid w:val="001A3790"/>
    <w:rsid w:val="001A437D"/>
    <w:rsid w:val="001B3286"/>
    <w:rsid w:val="001B4666"/>
    <w:rsid w:val="001B6EF8"/>
    <w:rsid w:val="001C1D4F"/>
    <w:rsid w:val="001C2DF5"/>
    <w:rsid w:val="001C49B1"/>
    <w:rsid w:val="001C53C5"/>
    <w:rsid w:val="001C6E2B"/>
    <w:rsid w:val="001D142F"/>
    <w:rsid w:val="001D155A"/>
    <w:rsid w:val="001D3A6D"/>
    <w:rsid w:val="001D49B2"/>
    <w:rsid w:val="001D4A25"/>
    <w:rsid w:val="001D57B5"/>
    <w:rsid w:val="001D5884"/>
    <w:rsid w:val="001D754F"/>
    <w:rsid w:val="001D766A"/>
    <w:rsid w:val="001E22CE"/>
    <w:rsid w:val="001E32AA"/>
    <w:rsid w:val="001E34ED"/>
    <w:rsid w:val="001E4065"/>
    <w:rsid w:val="001E4477"/>
    <w:rsid w:val="001E7623"/>
    <w:rsid w:val="001F41B6"/>
    <w:rsid w:val="001F4F6E"/>
    <w:rsid w:val="001F526C"/>
    <w:rsid w:val="001F6752"/>
    <w:rsid w:val="00205C52"/>
    <w:rsid w:val="00207933"/>
    <w:rsid w:val="002125AC"/>
    <w:rsid w:val="002149EC"/>
    <w:rsid w:val="0022067C"/>
    <w:rsid w:val="00222C03"/>
    <w:rsid w:val="00222E56"/>
    <w:rsid w:val="002260A2"/>
    <w:rsid w:val="00230C29"/>
    <w:rsid w:val="00231336"/>
    <w:rsid w:val="002316BD"/>
    <w:rsid w:val="002336A4"/>
    <w:rsid w:val="00234D4F"/>
    <w:rsid w:val="00235F69"/>
    <w:rsid w:val="00244489"/>
    <w:rsid w:val="002451AD"/>
    <w:rsid w:val="00245CB1"/>
    <w:rsid w:val="00246678"/>
    <w:rsid w:val="002505D4"/>
    <w:rsid w:val="0025179D"/>
    <w:rsid w:val="002549F9"/>
    <w:rsid w:val="00254B78"/>
    <w:rsid w:val="002557DE"/>
    <w:rsid w:val="00255FA1"/>
    <w:rsid w:val="00261420"/>
    <w:rsid w:val="00262BD5"/>
    <w:rsid w:val="002637BC"/>
    <w:rsid w:val="00264C4A"/>
    <w:rsid w:val="002662FB"/>
    <w:rsid w:val="00267DB6"/>
    <w:rsid w:val="002728BC"/>
    <w:rsid w:val="002735BD"/>
    <w:rsid w:val="00273C1A"/>
    <w:rsid w:val="002751E9"/>
    <w:rsid w:val="00277820"/>
    <w:rsid w:val="00280845"/>
    <w:rsid w:val="00285131"/>
    <w:rsid w:val="002903CF"/>
    <w:rsid w:val="0029060B"/>
    <w:rsid w:val="002913C6"/>
    <w:rsid w:val="00296B91"/>
    <w:rsid w:val="002A0B77"/>
    <w:rsid w:val="002A24F4"/>
    <w:rsid w:val="002A3D02"/>
    <w:rsid w:val="002A5218"/>
    <w:rsid w:val="002A5F4C"/>
    <w:rsid w:val="002B072B"/>
    <w:rsid w:val="002B1B40"/>
    <w:rsid w:val="002B20DE"/>
    <w:rsid w:val="002B308D"/>
    <w:rsid w:val="002B5669"/>
    <w:rsid w:val="002B79EB"/>
    <w:rsid w:val="002C0FDF"/>
    <w:rsid w:val="002C2266"/>
    <w:rsid w:val="002C42C0"/>
    <w:rsid w:val="002C6B4F"/>
    <w:rsid w:val="002C7FEF"/>
    <w:rsid w:val="002D3202"/>
    <w:rsid w:val="002D6FB6"/>
    <w:rsid w:val="002D715D"/>
    <w:rsid w:val="002E1024"/>
    <w:rsid w:val="002E4542"/>
    <w:rsid w:val="002E5DC3"/>
    <w:rsid w:val="002E7C56"/>
    <w:rsid w:val="002F051E"/>
    <w:rsid w:val="002F0E67"/>
    <w:rsid w:val="002F1873"/>
    <w:rsid w:val="002F2441"/>
    <w:rsid w:val="002F35DC"/>
    <w:rsid w:val="002F4D90"/>
    <w:rsid w:val="00302D6B"/>
    <w:rsid w:val="0030723C"/>
    <w:rsid w:val="003073DF"/>
    <w:rsid w:val="0030775B"/>
    <w:rsid w:val="00312A02"/>
    <w:rsid w:val="00312D92"/>
    <w:rsid w:val="00314BDA"/>
    <w:rsid w:val="003201D3"/>
    <w:rsid w:val="00323616"/>
    <w:rsid w:val="00324E75"/>
    <w:rsid w:val="00326335"/>
    <w:rsid w:val="003314D8"/>
    <w:rsid w:val="00331614"/>
    <w:rsid w:val="00331E75"/>
    <w:rsid w:val="0033245C"/>
    <w:rsid w:val="003344FC"/>
    <w:rsid w:val="003370A8"/>
    <w:rsid w:val="00343C33"/>
    <w:rsid w:val="003446B8"/>
    <w:rsid w:val="00346B98"/>
    <w:rsid w:val="003470EB"/>
    <w:rsid w:val="00347838"/>
    <w:rsid w:val="00351AC1"/>
    <w:rsid w:val="0035529A"/>
    <w:rsid w:val="00360784"/>
    <w:rsid w:val="00360EE8"/>
    <w:rsid w:val="0036214B"/>
    <w:rsid w:val="00364E3D"/>
    <w:rsid w:val="0037357A"/>
    <w:rsid w:val="003751D5"/>
    <w:rsid w:val="00375C42"/>
    <w:rsid w:val="00375D1E"/>
    <w:rsid w:val="00376C61"/>
    <w:rsid w:val="00382494"/>
    <w:rsid w:val="00384072"/>
    <w:rsid w:val="003853AB"/>
    <w:rsid w:val="003854F9"/>
    <w:rsid w:val="00385C24"/>
    <w:rsid w:val="00393235"/>
    <w:rsid w:val="003933AB"/>
    <w:rsid w:val="00395BA7"/>
    <w:rsid w:val="003A0A62"/>
    <w:rsid w:val="003A11AA"/>
    <w:rsid w:val="003A2946"/>
    <w:rsid w:val="003A2B01"/>
    <w:rsid w:val="003B1D1C"/>
    <w:rsid w:val="003B43FA"/>
    <w:rsid w:val="003B4E9A"/>
    <w:rsid w:val="003B5910"/>
    <w:rsid w:val="003B5DB2"/>
    <w:rsid w:val="003B6D83"/>
    <w:rsid w:val="003B715E"/>
    <w:rsid w:val="003C0E28"/>
    <w:rsid w:val="003C27B2"/>
    <w:rsid w:val="003C52B1"/>
    <w:rsid w:val="003C6D92"/>
    <w:rsid w:val="003C70AC"/>
    <w:rsid w:val="003D26FB"/>
    <w:rsid w:val="003D28F2"/>
    <w:rsid w:val="003E074B"/>
    <w:rsid w:val="003E0BAC"/>
    <w:rsid w:val="003E35F3"/>
    <w:rsid w:val="003E3A42"/>
    <w:rsid w:val="003F0B75"/>
    <w:rsid w:val="003F10FE"/>
    <w:rsid w:val="003F18F0"/>
    <w:rsid w:val="003F3AFE"/>
    <w:rsid w:val="003F4F2D"/>
    <w:rsid w:val="003F544D"/>
    <w:rsid w:val="003F6398"/>
    <w:rsid w:val="004014F7"/>
    <w:rsid w:val="0040210D"/>
    <w:rsid w:val="00403CF6"/>
    <w:rsid w:val="00405C0E"/>
    <w:rsid w:val="00410033"/>
    <w:rsid w:val="00410CE0"/>
    <w:rsid w:val="004144A5"/>
    <w:rsid w:val="00416ADB"/>
    <w:rsid w:val="00420333"/>
    <w:rsid w:val="004226C3"/>
    <w:rsid w:val="0042453A"/>
    <w:rsid w:val="00424E6A"/>
    <w:rsid w:val="0042543B"/>
    <w:rsid w:val="0042598F"/>
    <w:rsid w:val="00425D0E"/>
    <w:rsid w:val="00426DAA"/>
    <w:rsid w:val="004302D1"/>
    <w:rsid w:val="0043107F"/>
    <w:rsid w:val="00431616"/>
    <w:rsid w:val="00431661"/>
    <w:rsid w:val="0043249B"/>
    <w:rsid w:val="00434DD6"/>
    <w:rsid w:val="00443F63"/>
    <w:rsid w:val="00444FF3"/>
    <w:rsid w:val="004459B9"/>
    <w:rsid w:val="0045077F"/>
    <w:rsid w:val="0045085F"/>
    <w:rsid w:val="00451242"/>
    <w:rsid w:val="00452C8C"/>
    <w:rsid w:val="00453E26"/>
    <w:rsid w:val="00454826"/>
    <w:rsid w:val="00454E86"/>
    <w:rsid w:val="0045596F"/>
    <w:rsid w:val="004571C7"/>
    <w:rsid w:val="0045757B"/>
    <w:rsid w:val="0045772F"/>
    <w:rsid w:val="0045780B"/>
    <w:rsid w:val="00461325"/>
    <w:rsid w:val="00462DA7"/>
    <w:rsid w:val="00472449"/>
    <w:rsid w:val="00476B5F"/>
    <w:rsid w:val="00476DC1"/>
    <w:rsid w:val="00477163"/>
    <w:rsid w:val="0048232D"/>
    <w:rsid w:val="00483820"/>
    <w:rsid w:val="00485F6F"/>
    <w:rsid w:val="00486345"/>
    <w:rsid w:val="00487810"/>
    <w:rsid w:val="00492623"/>
    <w:rsid w:val="00492AEC"/>
    <w:rsid w:val="00496FCB"/>
    <w:rsid w:val="00497808"/>
    <w:rsid w:val="004A160B"/>
    <w:rsid w:val="004A36D2"/>
    <w:rsid w:val="004A3F4F"/>
    <w:rsid w:val="004A6B6E"/>
    <w:rsid w:val="004A757C"/>
    <w:rsid w:val="004A7D4A"/>
    <w:rsid w:val="004B0E74"/>
    <w:rsid w:val="004B1EF8"/>
    <w:rsid w:val="004B3733"/>
    <w:rsid w:val="004B5C53"/>
    <w:rsid w:val="004B71B1"/>
    <w:rsid w:val="004B759C"/>
    <w:rsid w:val="004C76E9"/>
    <w:rsid w:val="004D1555"/>
    <w:rsid w:val="004D2BB8"/>
    <w:rsid w:val="004D41C2"/>
    <w:rsid w:val="004D4B7E"/>
    <w:rsid w:val="004E0483"/>
    <w:rsid w:val="004E1F2C"/>
    <w:rsid w:val="004E3788"/>
    <w:rsid w:val="004E3C8A"/>
    <w:rsid w:val="004E4F65"/>
    <w:rsid w:val="004F335C"/>
    <w:rsid w:val="004F5700"/>
    <w:rsid w:val="004F7E76"/>
    <w:rsid w:val="00506798"/>
    <w:rsid w:val="0050766B"/>
    <w:rsid w:val="0051156B"/>
    <w:rsid w:val="00511E44"/>
    <w:rsid w:val="00512E95"/>
    <w:rsid w:val="00514697"/>
    <w:rsid w:val="00515CDE"/>
    <w:rsid w:val="00515FA6"/>
    <w:rsid w:val="005164FB"/>
    <w:rsid w:val="0051660D"/>
    <w:rsid w:val="00517AF1"/>
    <w:rsid w:val="00521B94"/>
    <w:rsid w:val="00523389"/>
    <w:rsid w:val="00523F23"/>
    <w:rsid w:val="00530ABB"/>
    <w:rsid w:val="00531AFD"/>
    <w:rsid w:val="00532520"/>
    <w:rsid w:val="00533C46"/>
    <w:rsid w:val="00535538"/>
    <w:rsid w:val="00536087"/>
    <w:rsid w:val="0053676F"/>
    <w:rsid w:val="00540255"/>
    <w:rsid w:val="00541F9A"/>
    <w:rsid w:val="00543C73"/>
    <w:rsid w:val="00543E3C"/>
    <w:rsid w:val="005454FD"/>
    <w:rsid w:val="0054758E"/>
    <w:rsid w:val="00547D3D"/>
    <w:rsid w:val="00552A75"/>
    <w:rsid w:val="00552A99"/>
    <w:rsid w:val="00553817"/>
    <w:rsid w:val="005540B0"/>
    <w:rsid w:val="005549F9"/>
    <w:rsid w:val="00554A13"/>
    <w:rsid w:val="00556119"/>
    <w:rsid w:val="005609C5"/>
    <w:rsid w:val="00563132"/>
    <w:rsid w:val="00563CB8"/>
    <w:rsid w:val="00566E93"/>
    <w:rsid w:val="0056754A"/>
    <w:rsid w:val="0057064E"/>
    <w:rsid w:val="005719B1"/>
    <w:rsid w:val="00572B18"/>
    <w:rsid w:val="00573BBF"/>
    <w:rsid w:val="00573DF7"/>
    <w:rsid w:val="00576EED"/>
    <w:rsid w:val="005805F3"/>
    <w:rsid w:val="00582492"/>
    <w:rsid w:val="005824AD"/>
    <w:rsid w:val="00583B11"/>
    <w:rsid w:val="00584964"/>
    <w:rsid w:val="00586BFE"/>
    <w:rsid w:val="005901DD"/>
    <w:rsid w:val="005909AB"/>
    <w:rsid w:val="00590A97"/>
    <w:rsid w:val="00591880"/>
    <w:rsid w:val="0059261E"/>
    <w:rsid w:val="005973BF"/>
    <w:rsid w:val="005A04A6"/>
    <w:rsid w:val="005A28A7"/>
    <w:rsid w:val="005A2EDC"/>
    <w:rsid w:val="005A3A82"/>
    <w:rsid w:val="005A5040"/>
    <w:rsid w:val="005A5E22"/>
    <w:rsid w:val="005A63ED"/>
    <w:rsid w:val="005A6C65"/>
    <w:rsid w:val="005A750F"/>
    <w:rsid w:val="005B1613"/>
    <w:rsid w:val="005B2003"/>
    <w:rsid w:val="005B2CB7"/>
    <w:rsid w:val="005B2E52"/>
    <w:rsid w:val="005B325A"/>
    <w:rsid w:val="005B3FAF"/>
    <w:rsid w:val="005B4D00"/>
    <w:rsid w:val="005B5D38"/>
    <w:rsid w:val="005B65EE"/>
    <w:rsid w:val="005B69CA"/>
    <w:rsid w:val="005B7223"/>
    <w:rsid w:val="005C2D64"/>
    <w:rsid w:val="005C31FF"/>
    <w:rsid w:val="005C3E19"/>
    <w:rsid w:val="005C7A3B"/>
    <w:rsid w:val="005D087E"/>
    <w:rsid w:val="005D2BAC"/>
    <w:rsid w:val="005D4726"/>
    <w:rsid w:val="005E01BA"/>
    <w:rsid w:val="005E0606"/>
    <w:rsid w:val="005E111D"/>
    <w:rsid w:val="005E2819"/>
    <w:rsid w:val="005E5500"/>
    <w:rsid w:val="005E5560"/>
    <w:rsid w:val="005F1E51"/>
    <w:rsid w:val="005F25F3"/>
    <w:rsid w:val="005F504D"/>
    <w:rsid w:val="005F7453"/>
    <w:rsid w:val="00604F41"/>
    <w:rsid w:val="00605E5F"/>
    <w:rsid w:val="00605F42"/>
    <w:rsid w:val="00607450"/>
    <w:rsid w:val="00610173"/>
    <w:rsid w:val="00610C88"/>
    <w:rsid w:val="00613A68"/>
    <w:rsid w:val="00613F86"/>
    <w:rsid w:val="00616D33"/>
    <w:rsid w:val="006211F5"/>
    <w:rsid w:val="00621E07"/>
    <w:rsid w:val="0062344C"/>
    <w:rsid w:val="00623EEA"/>
    <w:rsid w:val="00627ABD"/>
    <w:rsid w:val="00633CE1"/>
    <w:rsid w:val="006346CE"/>
    <w:rsid w:val="00635A37"/>
    <w:rsid w:val="00637F3B"/>
    <w:rsid w:val="00641FFF"/>
    <w:rsid w:val="00642CDD"/>
    <w:rsid w:val="006438A6"/>
    <w:rsid w:val="00646E51"/>
    <w:rsid w:val="00651264"/>
    <w:rsid w:val="00652490"/>
    <w:rsid w:val="00652A52"/>
    <w:rsid w:val="0065306F"/>
    <w:rsid w:val="00653A17"/>
    <w:rsid w:val="006550DB"/>
    <w:rsid w:val="00656129"/>
    <w:rsid w:val="006606E9"/>
    <w:rsid w:val="00661BBC"/>
    <w:rsid w:val="006629AF"/>
    <w:rsid w:val="00662BF6"/>
    <w:rsid w:val="00663713"/>
    <w:rsid w:val="00664CD0"/>
    <w:rsid w:val="0067076F"/>
    <w:rsid w:val="006707A9"/>
    <w:rsid w:val="006710C7"/>
    <w:rsid w:val="00672492"/>
    <w:rsid w:val="0067352A"/>
    <w:rsid w:val="00674301"/>
    <w:rsid w:val="00674EE7"/>
    <w:rsid w:val="00677A74"/>
    <w:rsid w:val="00677F8E"/>
    <w:rsid w:val="006806EC"/>
    <w:rsid w:val="00683B13"/>
    <w:rsid w:val="00686192"/>
    <w:rsid w:val="00687194"/>
    <w:rsid w:val="00690D26"/>
    <w:rsid w:val="0069142E"/>
    <w:rsid w:val="006915EF"/>
    <w:rsid w:val="00693174"/>
    <w:rsid w:val="00694BCB"/>
    <w:rsid w:val="00696BA4"/>
    <w:rsid w:val="006A185D"/>
    <w:rsid w:val="006A294A"/>
    <w:rsid w:val="006A53CD"/>
    <w:rsid w:val="006A71FC"/>
    <w:rsid w:val="006B2303"/>
    <w:rsid w:val="006B294D"/>
    <w:rsid w:val="006B3C03"/>
    <w:rsid w:val="006B517B"/>
    <w:rsid w:val="006B545C"/>
    <w:rsid w:val="006B56EA"/>
    <w:rsid w:val="006B7C8F"/>
    <w:rsid w:val="006C12AD"/>
    <w:rsid w:val="006D0741"/>
    <w:rsid w:val="006D074E"/>
    <w:rsid w:val="006D17FF"/>
    <w:rsid w:val="006D2C5D"/>
    <w:rsid w:val="006D5017"/>
    <w:rsid w:val="006E0A24"/>
    <w:rsid w:val="006E270A"/>
    <w:rsid w:val="006E5CFC"/>
    <w:rsid w:val="006E64D2"/>
    <w:rsid w:val="006E652C"/>
    <w:rsid w:val="006E7A95"/>
    <w:rsid w:val="006F2DD2"/>
    <w:rsid w:val="006F5306"/>
    <w:rsid w:val="0070067A"/>
    <w:rsid w:val="00703921"/>
    <w:rsid w:val="00703FAA"/>
    <w:rsid w:val="0071075D"/>
    <w:rsid w:val="00711548"/>
    <w:rsid w:val="00716D7B"/>
    <w:rsid w:val="00721FF5"/>
    <w:rsid w:val="00724A6E"/>
    <w:rsid w:val="007277FE"/>
    <w:rsid w:val="00734551"/>
    <w:rsid w:val="00736934"/>
    <w:rsid w:val="007406BF"/>
    <w:rsid w:val="00740C02"/>
    <w:rsid w:val="007423D5"/>
    <w:rsid w:val="0074240B"/>
    <w:rsid w:val="007431EB"/>
    <w:rsid w:val="007443A0"/>
    <w:rsid w:val="00745B8A"/>
    <w:rsid w:val="007506BE"/>
    <w:rsid w:val="00750E24"/>
    <w:rsid w:val="007512E9"/>
    <w:rsid w:val="00751EA6"/>
    <w:rsid w:val="00754FFF"/>
    <w:rsid w:val="00755436"/>
    <w:rsid w:val="00756D2F"/>
    <w:rsid w:val="00762EB3"/>
    <w:rsid w:val="007645B5"/>
    <w:rsid w:val="007670A1"/>
    <w:rsid w:val="007673CA"/>
    <w:rsid w:val="00772277"/>
    <w:rsid w:val="00775DAD"/>
    <w:rsid w:val="0078020E"/>
    <w:rsid w:val="007814FC"/>
    <w:rsid w:val="007844A8"/>
    <w:rsid w:val="00786430"/>
    <w:rsid w:val="007865D7"/>
    <w:rsid w:val="007905F6"/>
    <w:rsid w:val="0079165E"/>
    <w:rsid w:val="00792825"/>
    <w:rsid w:val="007A1AAB"/>
    <w:rsid w:val="007A2E16"/>
    <w:rsid w:val="007A32CD"/>
    <w:rsid w:val="007A79F1"/>
    <w:rsid w:val="007B19A8"/>
    <w:rsid w:val="007B30AA"/>
    <w:rsid w:val="007B3D3D"/>
    <w:rsid w:val="007B4ADB"/>
    <w:rsid w:val="007B67A0"/>
    <w:rsid w:val="007C02EB"/>
    <w:rsid w:val="007C0706"/>
    <w:rsid w:val="007C6079"/>
    <w:rsid w:val="007C687D"/>
    <w:rsid w:val="007C6900"/>
    <w:rsid w:val="007D0BC7"/>
    <w:rsid w:val="007D187A"/>
    <w:rsid w:val="007D1DCD"/>
    <w:rsid w:val="007D790C"/>
    <w:rsid w:val="007D7D3C"/>
    <w:rsid w:val="007E172F"/>
    <w:rsid w:val="007E239B"/>
    <w:rsid w:val="007E2AFA"/>
    <w:rsid w:val="007E3F67"/>
    <w:rsid w:val="007E55AB"/>
    <w:rsid w:val="007F4279"/>
    <w:rsid w:val="007F45E2"/>
    <w:rsid w:val="007F57C7"/>
    <w:rsid w:val="007F69B0"/>
    <w:rsid w:val="00800C98"/>
    <w:rsid w:val="0080363C"/>
    <w:rsid w:val="00803975"/>
    <w:rsid w:val="0080610B"/>
    <w:rsid w:val="0080674E"/>
    <w:rsid w:val="008103D7"/>
    <w:rsid w:val="00811466"/>
    <w:rsid w:val="00814111"/>
    <w:rsid w:val="0081446B"/>
    <w:rsid w:val="00814863"/>
    <w:rsid w:val="00815728"/>
    <w:rsid w:val="00820821"/>
    <w:rsid w:val="00827B21"/>
    <w:rsid w:val="00830279"/>
    <w:rsid w:val="008317B8"/>
    <w:rsid w:val="008321F4"/>
    <w:rsid w:val="00832BCD"/>
    <w:rsid w:val="00834E9C"/>
    <w:rsid w:val="00835872"/>
    <w:rsid w:val="00836663"/>
    <w:rsid w:val="00843805"/>
    <w:rsid w:val="00843B39"/>
    <w:rsid w:val="00844E98"/>
    <w:rsid w:val="00846B22"/>
    <w:rsid w:val="00846DF8"/>
    <w:rsid w:val="008470A9"/>
    <w:rsid w:val="00847679"/>
    <w:rsid w:val="00847DA9"/>
    <w:rsid w:val="00847EB5"/>
    <w:rsid w:val="00855AE3"/>
    <w:rsid w:val="00860642"/>
    <w:rsid w:val="00863B45"/>
    <w:rsid w:val="00871826"/>
    <w:rsid w:val="00872A4B"/>
    <w:rsid w:val="00874F66"/>
    <w:rsid w:val="00875929"/>
    <w:rsid w:val="00875AF5"/>
    <w:rsid w:val="008764E6"/>
    <w:rsid w:val="00882C01"/>
    <w:rsid w:val="00882CB8"/>
    <w:rsid w:val="00882EF7"/>
    <w:rsid w:val="00883AA6"/>
    <w:rsid w:val="00883FF8"/>
    <w:rsid w:val="00886D32"/>
    <w:rsid w:val="0089104D"/>
    <w:rsid w:val="00891B86"/>
    <w:rsid w:val="008A032B"/>
    <w:rsid w:val="008A5160"/>
    <w:rsid w:val="008A589E"/>
    <w:rsid w:val="008B04D4"/>
    <w:rsid w:val="008B07FA"/>
    <w:rsid w:val="008B2444"/>
    <w:rsid w:val="008B28CF"/>
    <w:rsid w:val="008B6F49"/>
    <w:rsid w:val="008C1952"/>
    <w:rsid w:val="008C22E4"/>
    <w:rsid w:val="008C3DEF"/>
    <w:rsid w:val="008C446A"/>
    <w:rsid w:val="008C4DF8"/>
    <w:rsid w:val="008D0F2C"/>
    <w:rsid w:val="008D1A33"/>
    <w:rsid w:val="008D4B27"/>
    <w:rsid w:val="008D6F73"/>
    <w:rsid w:val="008E04F7"/>
    <w:rsid w:val="008E4FA9"/>
    <w:rsid w:val="008E6231"/>
    <w:rsid w:val="008E7CC7"/>
    <w:rsid w:val="008E7D3A"/>
    <w:rsid w:val="008F1126"/>
    <w:rsid w:val="008F1653"/>
    <w:rsid w:val="008F363B"/>
    <w:rsid w:val="008F3C80"/>
    <w:rsid w:val="008F4E0B"/>
    <w:rsid w:val="00901A39"/>
    <w:rsid w:val="00903ECE"/>
    <w:rsid w:val="00904EB9"/>
    <w:rsid w:val="009104B6"/>
    <w:rsid w:val="0091721D"/>
    <w:rsid w:val="009201DC"/>
    <w:rsid w:val="00921D9C"/>
    <w:rsid w:val="00926776"/>
    <w:rsid w:val="00926C4B"/>
    <w:rsid w:val="00930BA5"/>
    <w:rsid w:val="009315C5"/>
    <w:rsid w:val="009317C9"/>
    <w:rsid w:val="00931AF0"/>
    <w:rsid w:val="00934E91"/>
    <w:rsid w:val="009357CD"/>
    <w:rsid w:val="00936127"/>
    <w:rsid w:val="009416B5"/>
    <w:rsid w:val="00943BA0"/>
    <w:rsid w:val="00946DA1"/>
    <w:rsid w:val="00956737"/>
    <w:rsid w:val="009567E8"/>
    <w:rsid w:val="00956E32"/>
    <w:rsid w:val="009606E3"/>
    <w:rsid w:val="00962AD4"/>
    <w:rsid w:val="00962EB5"/>
    <w:rsid w:val="00963F79"/>
    <w:rsid w:val="00964CC4"/>
    <w:rsid w:val="00964FF0"/>
    <w:rsid w:val="00967DB3"/>
    <w:rsid w:val="009743FB"/>
    <w:rsid w:val="00975373"/>
    <w:rsid w:val="009756F9"/>
    <w:rsid w:val="00976222"/>
    <w:rsid w:val="009821BA"/>
    <w:rsid w:val="0098349A"/>
    <w:rsid w:val="00983C14"/>
    <w:rsid w:val="009844F1"/>
    <w:rsid w:val="0098536B"/>
    <w:rsid w:val="00990B87"/>
    <w:rsid w:val="00994935"/>
    <w:rsid w:val="0099504C"/>
    <w:rsid w:val="00996D1E"/>
    <w:rsid w:val="00997BC4"/>
    <w:rsid w:val="009A0B7E"/>
    <w:rsid w:val="009A0EC5"/>
    <w:rsid w:val="009A0F60"/>
    <w:rsid w:val="009A4378"/>
    <w:rsid w:val="009A4BE3"/>
    <w:rsid w:val="009A58C3"/>
    <w:rsid w:val="009B1BF5"/>
    <w:rsid w:val="009B5311"/>
    <w:rsid w:val="009B6D67"/>
    <w:rsid w:val="009B70C2"/>
    <w:rsid w:val="009C018D"/>
    <w:rsid w:val="009C1D3F"/>
    <w:rsid w:val="009C434F"/>
    <w:rsid w:val="009C6257"/>
    <w:rsid w:val="009D1C03"/>
    <w:rsid w:val="009D23C7"/>
    <w:rsid w:val="009E2617"/>
    <w:rsid w:val="009E51EE"/>
    <w:rsid w:val="009E6D37"/>
    <w:rsid w:val="009E725C"/>
    <w:rsid w:val="009F0202"/>
    <w:rsid w:val="009F0B24"/>
    <w:rsid w:val="009F0F03"/>
    <w:rsid w:val="009F106A"/>
    <w:rsid w:val="009F1CC4"/>
    <w:rsid w:val="009F23FC"/>
    <w:rsid w:val="009F34B5"/>
    <w:rsid w:val="009F468C"/>
    <w:rsid w:val="009F5881"/>
    <w:rsid w:val="009F5D53"/>
    <w:rsid w:val="009F6CCF"/>
    <w:rsid w:val="00A038EC"/>
    <w:rsid w:val="00A04209"/>
    <w:rsid w:val="00A0672D"/>
    <w:rsid w:val="00A07E8F"/>
    <w:rsid w:val="00A1003A"/>
    <w:rsid w:val="00A111FD"/>
    <w:rsid w:val="00A11BFD"/>
    <w:rsid w:val="00A148A7"/>
    <w:rsid w:val="00A15D8A"/>
    <w:rsid w:val="00A16962"/>
    <w:rsid w:val="00A175D4"/>
    <w:rsid w:val="00A17E5E"/>
    <w:rsid w:val="00A240F5"/>
    <w:rsid w:val="00A2521F"/>
    <w:rsid w:val="00A25223"/>
    <w:rsid w:val="00A2597E"/>
    <w:rsid w:val="00A260E2"/>
    <w:rsid w:val="00A26F2B"/>
    <w:rsid w:val="00A32A43"/>
    <w:rsid w:val="00A32DE6"/>
    <w:rsid w:val="00A338B8"/>
    <w:rsid w:val="00A40D31"/>
    <w:rsid w:val="00A40DAF"/>
    <w:rsid w:val="00A40E03"/>
    <w:rsid w:val="00A420F6"/>
    <w:rsid w:val="00A433BD"/>
    <w:rsid w:val="00A43551"/>
    <w:rsid w:val="00A44D3F"/>
    <w:rsid w:val="00A44F0C"/>
    <w:rsid w:val="00A450ED"/>
    <w:rsid w:val="00A51EA1"/>
    <w:rsid w:val="00A54305"/>
    <w:rsid w:val="00A549E2"/>
    <w:rsid w:val="00A56358"/>
    <w:rsid w:val="00A5669E"/>
    <w:rsid w:val="00A56E20"/>
    <w:rsid w:val="00A57D03"/>
    <w:rsid w:val="00A60C84"/>
    <w:rsid w:val="00A62725"/>
    <w:rsid w:val="00A62F95"/>
    <w:rsid w:val="00A65A75"/>
    <w:rsid w:val="00A7090F"/>
    <w:rsid w:val="00A7313B"/>
    <w:rsid w:val="00A74781"/>
    <w:rsid w:val="00A7787F"/>
    <w:rsid w:val="00A77E06"/>
    <w:rsid w:val="00A77EE8"/>
    <w:rsid w:val="00A81684"/>
    <w:rsid w:val="00A83CCE"/>
    <w:rsid w:val="00A84314"/>
    <w:rsid w:val="00A86D13"/>
    <w:rsid w:val="00A86D66"/>
    <w:rsid w:val="00A917E5"/>
    <w:rsid w:val="00A9284B"/>
    <w:rsid w:val="00A93AC5"/>
    <w:rsid w:val="00A947BE"/>
    <w:rsid w:val="00A9546F"/>
    <w:rsid w:val="00A956F1"/>
    <w:rsid w:val="00A959C1"/>
    <w:rsid w:val="00A963FA"/>
    <w:rsid w:val="00A97A97"/>
    <w:rsid w:val="00AA24CA"/>
    <w:rsid w:val="00AA3C4A"/>
    <w:rsid w:val="00AA40EB"/>
    <w:rsid w:val="00AA63DA"/>
    <w:rsid w:val="00AA701A"/>
    <w:rsid w:val="00AB06E1"/>
    <w:rsid w:val="00AB68D0"/>
    <w:rsid w:val="00AB7BB1"/>
    <w:rsid w:val="00AC1975"/>
    <w:rsid w:val="00AC6E9B"/>
    <w:rsid w:val="00AD0155"/>
    <w:rsid w:val="00AD0985"/>
    <w:rsid w:val="00AD15E6"/>
    <w:rsid w:val="00AD22B3"/>
    <w:rsid w:val="00AD346D"/>
    <w:rsid w:val="00AD5070"/>
    <w:rsid w:val="00AD569A"/>
    <w:rsid w:val="00AE040C"/>
    <w:rsid w:val="00AE0626"/>
    <w:rsid w:val="00AE0FE3"/>
    <w:rsid w:val="00AE67A3"/>
    <w:rsid w:val="00AF1389"/>
    <w:rsid w:val="00AF79AD"/>
    <w:rsid w:val="00AF7DBD"/>
    <w:rsid w:val="00B009B8"/>
    <w:rsid w:val="00B04127"/>
    <w:rsid w:val="00B045F3"/>
    <w:rsid w:val="00B055C1"/>
    <w:rsid w:val="00B05D93"/>
    <w:rsid w:val="00B0736F"/>
    <w:rsid w:val="00B124AF"/>
    <w:rsid w:val="00B124D0"/>
    <w:rsid w:val="00B1281C"/>
    <w:rsid w:val="00B13092"/>
    <w:rsid w:val="00B1311D"/>
    <w:rsid w:val="00B14ED1"/>
    <w:rsid w:val="00B15ACF"/>
    <w:rsid w:val="00B21FB5"/>
    <w:rsid w:val="00B24526"/>
    <w:rsid w:val="00B2485F"/>
    <w:rsid w:val="00B25FB9"/>
    <w:rsid w:val="00B264EA"/>
    <w:rsid w:val="00B26BB8"/>
    <w:rsid w:val="00B26D46"/>
    <w:rsid w:val="00B3340D"/>
    <w:rsid w:val="00B3518F"/>
    <w:rsid w:val="00B36EEE"/>
    <w:rsid w:val="00B431F9"/>
    <w:rsid w:val="00B441CA"/>
    <w:rsid w:val="00B45245"/>
    <w:rsid w:val="00B45821"/>
    <w:rsid w:val="00B5146F"/>
    <w:rsid w:val="00B533BF"/>
    <w:rsid w:val="00B54170"/>
    <w:rsid w:val="00B553C4"/>
    <w:rsid w:val="00B61013"/>
    <w:rsid w:val="00B62940"/>
    <w:rsid w:val="00B62E61"/>
    <w:rsid w:val="00B64AA0"/>
    <w:rsid w:val="00B65EBE"/>
    <w:rsid w:val="00B660E6"/>
    <w:rsid w:val="00B716DB"/>
    <w:rsid w:val="00B72899"/>
    <w:rsid w:val="00B73C7E"/>
    <w:rsid w:val="00B77931"/>
    <w:rsid w:val="00B830BB"/>
    <w:rsid w:val="00B84A45"/>
    <w:rsid w:val="00B8715B"/>
    <w:rsid w:val="00B9039B"/>
    <w:rsid w:val="00B91938"/>
    <w:rsid w:val="00B92A0A"/>
    <w:rsid w:val="00B9306C"/>
    <w:rsid w:val="00B932A9"/>
    <w:rsid w:val="00BA04B0"/>
    <w:rsid w:val="00BA3DED"/>
    <w:rsid w:val="00BA56A3"/>
    <w:rsid w:val="00BA59C5"/>
    <w:rsid w:val="00BA79A7"/>
    <w:rsid w:val="00BB10D4"/>
    <w:rsid w:val="00BB6737"/>
    <w:rsid w:val="00BC1D7D"/>
    <w:rsid w:val="00BC29F8"/>
    <w:rsid w:val="00BC2E9E"/>
    <w:rsid w:val="00BC4215"/>
    <w:rsid w:val="00BC627E"/>
    <w:rsid w:val="00BD167B"/>
    <w:rsid w:val="00BD2E18"/>
    <w:rsid w:val="00BD3A69"/>
    <w:rsid w:val="00BD591D"/>
    <w:rsid w:val="00BD7377"/>
    <w:rsid w:val="00BE0D72"/>
    <w:rsid w:val="00BE3C29"/>
    <w:rsid w:val="00BE4750"/>
    <w:rsid w:val="00BE5D39"/>
    <w:rsid w:val="00BE75D1"/>
    <w:rsid w:val="00BF05AB"/>
    <w:rsid w:val="00BF5474"/>
    <w:rsid w:val="00BF605D"/>
    <w:rsid w:val="00BF67AF"/>
    <w:rsid w:val="00BF6B50"/>
    <w:rsid w:val="00BF7E24"/>
    <w:rsid w:val="00C01ABC"/>
    <w:rsid w:val="00C01C33"/>
    <w:rsid w:val="00C029C8"/>
    <w:rsid w:val="00C06A03"/>
    <w:rsid w:val="00C10D44"/>
    <w:rsid w:val="00C11075"/>
    <w:rsid w:val="00C1219A"/>
    <w:rsid w:val="00C14C61"/>
    <w:rsid w:val="00C15DC9"/>
    <w:rsid w:val="00C200D6"/>
    <w:rsid w:val="00C203A9"/>
    <w:rsid w:val="00C2093C"/>
    <w:rsid w:val="00C22402"/>
    <w:rsid w:val="00C229D7"/>
    <w:rsid w:val="00C2706B"/>
    <w:rsid w:val="00C35BE9"/>
    <w:rsid w:val="00C360B2"/>
    <w:rsid w:val="00C3648E"/>
    <w:rsid w:val="00C422EC"/>
    <w:rsid w:val="00C42E76"/>
    <w:rsid w:val="00C43D81"/>
    <w:rsid w:val="00C44615"/>
    <w:rsid w:val="00C52C89"/>
    <w:rsid w:val="00C544D0"/>
    <w:rsid w:val="00C57354"/>
    <w:rsid w:val="00C60408"/>
    <w:rsid w:val="00C61B61"/>
    <w:rsid w:val="00C61E24"/>
    <w:rsid w:val="00C6253B"/>
    <w:rsid w:val="00C631DA"/>
    <w:rsid w:val="00C64AFA"/>
    <w:rsid w:val="00C66ED2"/>
    <w:rsid w:val="00C674DE"/>
    <w:rsid w:val="00C721BD"/>
    <w:rsid w:val="00C730BB"/>
    <w:rsid w:val="00C730F2"/>
    <w:rsid w:val="00C77D1D"/>
    <w:rsid w:val="00C819BF"/>
    <w:rsid w:val="00C84019"/>
    <w:rsid w:val="00C87403"/>
    <w:rsid w:val="00C87EDF"/>
    <w:rsid w:val="00C94E00"/>
    <w:rsid w:val="00CA06D8"/>
    <w:rsid w:val="00CA0BC2"/>
    <w:rsid w:val="00CA288C"/>
    <w:rsid w:val="00CA332C"/>
    <w:rsid w:val="00CA4916"/>
    <w:rsid w:val="00CA7083"/>
    <w:rsid w:val="00CB1041"/>
    <w:rsid w:val="00CB375C"/>
    <w:rsid w:val="00CB4B9D"/>
    <w:rsid w:val="00CB6200"/>
    <w:rsid w:val="00CB648E"/>
    <w:rsid w:val="00CC1FBE"/>
    <w:rsid w:val="00CC2A11"/>
    <w:rsid w:val="00CC5855"/>
    <w:rsid w:val="00CD09E7"/>
    <w:rsid w:val="00CD23A1"/>
    <w:rsid w:val="00CD4960"/>
    <w:rsid w:val="00CD4D5A"/>
    <w:rsid w:val="00CE2183"/>
    <w:rsid w:val="00CE37CC"/>
    <w:rsid w:val="00CF14CF"/>
    <w:rsid w:val="00D0035D"/>
    <w:rsid w:val="00D00E89"/>
    <w:rsid w:val="00D02AF9"/>
    <w:rsid w:val="00D03158"/>
    <w:rsid w:val="00D039DE"/>
    <w:rsid w:val="00D04FD1"/>
    <w:rsid w:val="00D10A35"/>
    <w:rsid w:val="00D10C9B"/>
    <w:rsid w:val="00D14588"/>
    <w:rsid w:val="00D14C61"/>
    <w:rsid w:val="00D163B8"/>
    <w:rsid w:val="00D21789"/>
    <w:rsid w:val="00D21AA3"/>
    <w:rsid w:val="00D23F72"/>
    <w:rsid w:val="00D25DA0"/>
    <w:rsid w:val="00D264A1"/>
    <w:rsid w:val="00D2697A"/>
    <w:rsid w:val="00D26F6C"/>
    <w:rsid w:val="00D276DF"/>
    <w:rsid w:val="00D31941"/>
    <w:rsid w:val="00D31F05"/>
    <w:rsid w:val="00D32D2A"/>
    <w:rsid w:val="00D3353E"/>
    <w:rsid w:val="00D35B0B"/>
    <w:rsid w:val="00D36006"/>
    <w:rsid w:val="00D4258C"/>
    <w:rsid w:val="00D438D6"/>
    <w:rsid w:val="00D44390"/>
    <w:rsid w:val="00D4446E"/>
    <w:rsid w:val="00D460EB"/>
    <w:rsid w:val="00D47393"/>
    <w:rsid w:val="00D473C8"/>
    <w:rsid w:val="00D5254C"/>
    <w:rsid w:val="00D54255"/>
    <w:rsid w:val="00D551A7"/>
    <w:rsid w:val="00D574C4"/>
    <w:rsid w:val="00D60C6D"/>
    <w:rsid w:val="00D65514"/>
    <w:rsid w:val="00D74AC0"/>
    <w:rsid w:val="00D76144"/>
    <w:rsid w:val="00D766E4"/>
    <w:rsid w:val="00D868B6"/>
    <w:rsid w:val="00D953BB"/>
    <w:rsid w:val="00DA02A4"/>
    <w:rsid w:val="00DA19CA"/>
    <w:rsid w:val="00DA20C6"/>
    <w:rsid w:val="00DA53FA"/>
    <w:rsid w:val="00DA65AE"/>
    <w:rsid w:val="00DA78A3"/>
    <w:rsid w:val="00DB1934"/>
    <w:rsid w:val="00DB22EE"/>
    <w:rsid w:val="00DC6B77"/>
    <w:rsid w:val="00DC7BD0"/>
    <w:rsid w:val="00DD4614"/>
    <w:rsid w:val="00DD68DB"/>
    <w:rsid w:val="00DE169C"/>
    <w:rsid w:val="00DE2B0C"/>
    <w:rsid w:val="00DE2C68"/>
    <w:rsid w:val="00DE3F19"/>
    <w:rsid w:val="00DE5782"/>
    <w:rsid w:val="00DE6968"/>
    <w:rsid w:val="00DF1681"/>
    <w:rsid w:val="00DF16C7"/>
    <w:rsid w:val="00DF2102"/>
    <w:rsid w:val="00DF3BA6"/>
    <w:rsid w:val="00DF51C0"/>
    <w:rsid w:val="00DF769F"/>
    <w:rsid w:val="00E013CF"/>
    <w:rsid w:val="00E02AA4"/>
    <w:rsid w:val="00E0468B"/>
    <w:rsid w:val="00E048BD"/>
    <w:rsid w:val="00E06420"/>
    <w:rsid w:val="00E06DEF"/>
    <w:rsid w:val="00E11358"/>
    <w:rsid w:val="00E1207F"/>
    <w:rsid w:val="00E134E9"/>
    <w:rsid w:val="00E14152"/>
    <w:rsid w:val="00E15313"/>
    <w:rsid w:val="00E21F4E"/>
    <w:rsid w:val="00E23278"/>
    <w:rsid w:val="00E2334F"/>
    <w:rsid w:val="00E25CE6"/>
    <w:rsid w:val="00E27030"/>
    <w:rsid w:val="00E27902"/>
    <w:rsid w:val="00E27FD6"/>
    <w:rsid w:val="00E30F36"/>
    <w:rsid w:val="00E312C2"/>
    <w:rsid w:val="00E3783E"/>
    <w:rsid w:val="00E40E80"/>
    <w:rsid w:val="00E42393"/>
    <w:rsid w:val="00E44FAB"/>
    <w:rsid w:val="00E45A75"/>
    <w:rsid w:val="00E461C4"/>
    <w:rsid w:val="00E5025E"/>
    <w:rsid w:val="00E506AA"/>
    <w:rsid w:val="00E50883"/>
    <w:rsid w:val="00E53925"/>
    <w:rsid w:val="00E549E9"/>
    <w:rsid w:val="00E55563"/>
    <w:rsid w:val="00E63796"/>
    <w:rsid w:val="00E671AD"/>
    <w:rsid w:val="00E671AF"/>
    <w:rsid w:val="00E71E2A"/>
    <w:rsid w:val="00E74B4D"/>
    <w:rsid w:val="00E7596E"/>
    <w:rsid w:val="00E75BCF"/>
    <w:rsid w:val="00E803EC"/>
    <w:rsid w:val="00E82EEC"/>
    <w:rsid w:val="00E8496C"/>
    <w:rsid w:val="00E84EA7"/>
    <w:rsid w:val="00E84EC2"/>
    <w:rsid w:val="00E85A21"/>
    <w:rsid w:val="00E86A77"/>
    <w:rsid w:val="00E86E60"/>
    <w:rsid w:val="00E8719B"/>
    <w:rsid w:val="00E87FBB"/>
    <w:rsid w:val="00E927F2"/>
    <w:rsid w:val="00E93C6C"/>
    <w:rsid w:val="00E95F77"/>
    <w:rsid w:val="00E96206"/>
    <w:rsid w:val="00E97168"/>
    <w:rsid w:val="00EA2AD4"/>
    <w:rsid w:val="00EB29F1"/>
    <w:rsid w:val="00EB384B"/>
    <w:rsid w:val="00EB52A9"/>
    <w:rsid w:val="00EB5820"/>
    <w:rsid w:val="00EB6537"/>
    <w:rsid w:val="00EC03AF"/>
    <w:rsid w:val="00EC0A30"/>
    <w:rsid w:val="00EC52EE"/>
    <w:rsid w:val="00EC5662"/>
    <w:rsid w:val="00ED177F"/>
    <w:rsid w:val="00ED29E3"/>
    <w:rsid w:val="00ED327D"/>
    <w:rsid w:val="00ED42F3"/>
    <w:rsid w:val="00ED47CF"/>
    <w:rsid w:val="00ED4A5F"/>
    <w:rsid w:val="00ED52DA"/>
    <w:rsid w:val="00ED6BD5"/>
    <w:rsid w:val="00ED6E19"/>
    <w:rsid w:val="00EE0B9B"/>
    <w:rsid w:val="00EE312B"/>
    <w:rsid w:val="00EE4BA0"/>
    <w:rsid w:val="00EE5D4F"/>
    <w:rsid w:val="00EE5FBB"/>
    <w:rsid w:val="00EF053F"/>
    <w:rsid w:val="00EF09AD"/>
    <w:rsid w:val="00EF1948"/>
    <w:rsid w:val="00EF2D2A"/>
    <w:rsid w:val="00EF319C"/>
    <w:rsid w:val="00F033B7"/>
    <w:rsid w:val="00F1139E"/>
    <w:rsid w:val="00F133BF"/>
    <w:rsid w:val="00F172F8"/>
    <w:rsid w:val="00F178EB"/>
    <w:rsid w:val="00F20421"/>
    <w:rsid w:val="00F20EB3"/>
    <w:rsid w:val="00F22802"/>
    <w:rsid w:val="00F234EA"/>
    <w:rsid w:val="00F25251"/>
    <w:rsid w:val="00F30F23"/>
    <w:rsid w:val="00F33082"/>
    <w:rsid w:val="00F36732"/>
    <w:rsid w:val="00F36C8E"/>
    <w:rsid w:val="00F36EB6"/>
    <w:rsid w:val="00F47429"/>
    <w:rsid w:val="00F475D5"/>
    <w:rsid w:val="00F51E0E"/>
    <w:rsid w:val="00F52B61"/>
    <w:rsid w:val="00F52E92"/>
    <w:rsid w:val="00F56215"/>
    <w:rsid w:val="00F600DB"/>
    <w:rsid w:val="00F60F84"/>
    <w:rsid w:val="00F61986"/>
    <w:rsid w:val="00F62925"/>
    <w:rsid w:val="00F640AE"/>
    <w:rsid w:val="00F66F0A"/>
    <w:rsid w:val="00F74F2F"/>
    <w:rsid w:val="00F767D4"/>
    <w:rsid w:val="00F83D84"/>
    <w:rsid w:val="00F84C73"/>
    <w:rsid w:val="00F86CC4"/>
    <w:rsid w:val="00F87795"/>
    <w:rsid w:val="00F879A1"/>
    <w:rsid w:val="00F91A7B"/>
    <w:rsid w:val="00F92A9B"/>
    <w:rsid w:val="00F9425D"/>
    <w:rsid w:val="00F965DC"/>
    <w:rsid w:val="00FA1B46"/>
    <w:rsid w:val="00FA242B"/>
    <w:rsid w:val="00FA2EBF"/>
    <w:rsid w:val="00FA3501"/>
    <w:rsid w:val="00FA487C"/>
    <w:rsid w:val="00FA5EFB"/>
    <w:rsid w:val="00FA63E4"/>
    <w:rsid w:val="00FB32A7"/>
    <w:rsid w:val="00FB3FF9"/>
    <w:rsid w:val="00FB443F"/>
    <w:rsid w:val="00FC0C52"/>
    <w:rsid w:val="00FC1364"/>
    <w:rsid w:val="00FC1E74"/>
    <w:rsid w:val="00FC3B3C"/>
    <w:rsid w:val="00FC5D22"/>
    <w:rsid w:val="00FC620D"/>
    <w:rsid w:val="00FC77FA"/>
    <w:rsid w:val="00FC7AA6"/>
    <w:rsid w:val="00FD0DB5"/>
    <w:rsid w:val="00FD4D45"/>
    <w:rsid w:val="00FD4FD9"/>
    <w:rsid w:val="00FD53DA"/>
    <w:rsid w:val="00FD53F6"/>
    <w:rsid w:val="00FD7012"/>
    <w:rsid w:val="00FE15BE"/>
    <w:rsid w:val="00FE30C7"/>
    <w:rsid w:val="00FE4137"/>
    <w:rsid w:val="00FE55C1"/>
    <w:rsid w:val="00FE7F1A"/>
    <w:rsid w:val="00FF07A0"/>
    <w:rsid w:val="00FF0846"/>
    <w:rsid w:val="00FF52DB"/>
    <w:rsid w:val="00FF6D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7F4483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CA"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05D91"/>
    <w:pPr>
      <w:ind w:left="720"/>
      <w:contextualSpacing/>
    </w:pPr>
  </w:style>
  <w:style w:type="character" w:styleId="Accentuation">
    <w:name w:val="Emphasis"/>
    <w:uiPriority w:val="20"/>
    <w:qFormat/>
    <w:rsid w:val="00FE30C7"/>
    <w:rPr>
      <w:i/>
    </w:rPr>
  </w:style>
  <w:style w:type="paragraph" w:styleId="Pieddepage">
    <w:name w:val="footer"/>
    <w:basedOn w:val="Normal"/>
    <w:link w:val="PieddepageCar"/>
    <w:uiPriority w:val="99"/>
    <w:unhideWhenUsed/>
    <w:rsid w:val="00D14C61"/>
    <w:pPr>
      <w:tabs>
        <w:tab w:val="center" w:pos="4536"/>
        <w:tab w:val="right" w:pos="9072"/>
      </w:tabs>
    </w:pPr>
  </w:style>
  <w:style w:type="character" w:customStyle="1" w:styleId="PieddepageCar">
    <w:name w:val="Pied de page Car"/>
    <w:basedOn w:val="Policepardfaut"/>
    <w:link w:val="Pieddepage"/>
    <w:uiPriority w:val="99"/>
    <w:rsid w:val="00D14C61"/>
    <w:rPr>
      <w:sz w:val="24"/>
      <w:szCs w:val="24"/>
      <w:lang w:val="fr-CA" w:eastAsia="fr-FR"/>
    </w:rPr>
  </w:style>
  <w:style w:type="character" w:styleId="Numrodepage">
    <w:name w:val="page number"/>
    <w:basedOn w:val="Policepardfaut"/>
    <w:uiPriority w:val="99"/>
    <w:semiHidden/>
    <w:unhideWhenUsed/>
    <w:rsid w:val="00D14C61"/>
  </w:style>
  <w:style w:type="paragraph" w:styleId="NormalWeb">
    <w:name w:val="Normal (Web)"/>
    <w:basedOn w:val="Normal"/>
    <w:uiPriority w:val="99"/>
    <w:semiHidden/>
    <w:unhideWhenUsed/>
    <w:rsid w:val="00207933"/>
    <w:pPr>
      <w:spacing w:before="100" w:beforeAutospacing="1" w:after="100" w:afterAutospacing="1"/>
    </w:pPr>
    <w:rPr>
      <w:rFonts w:ascii="Times" w:hAnsi="Times"/>
      <w:sz w:val="20"/>
      <w:szCs w:val="20"/>
      <w:lang w:val="en-GB"/>
    </w:rPr>
  </w:style>
  <w:style w:type="character" w:styleId="lev">
    <w:name w:val="Strong"/>
    <w:basedOn w:val="Policepardfaut"/>
    <w:uiPriority w:val="22"/>
    <w:qFormat/>
    <w:rsid w:val="00207933"/>
    <w:rPr>
      <w:b/>
      <w:bCs/>
    </w:rPr>
  </w:style>
  <w:style w:type="table" w:styleId="Grille">
    <w:name w:val="Table Grid"/>
    <w:basedOn w:val="TableauNormal"/>
    <w:uiPriority w:val="59"/>
    <w:rsid w:val="00523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unhideWhenUsed/>
    <w:rsid w:val="00543E3C"/>
  </w:style>
  <w:style w:type="character" w:customStyle="1" w:styleId="NotedebasdepageCar">
    <w:name w:val="Note de bas de page Car"/>
    <w:basedOn w:val="Policepardfaut"/>
    <w:link w:val="Notedebasdepage"/>
    <w:uiPriority w:val="99"/>
    <w:rsid w:val="00543E3C"/>
    <w:rPr>
      <w:sz w:val="24"/>
      <w:szCs w:val="24"/>
      <w:lang w:val="fr-CA" w:eastAsia="fr-FR"/>
    </w:rPr>
  </w:style>
  <w:style w:type="character" w:styleId="Marquenotebasdepage">
    <w:name w:val="footnote reference"/>
    <w:basedOn w:val="Policepardfaut"/>
    <w:uiPriority w:val="99"/>
    <w:unhideWhenUsed/>
    <w:rsid w:val="00543E3C"/>
    <w:rPr>
      <w:vertAlign w:val="superscript"/>
    </w:rPr>
  </w:style>
  <w:style w:type="character" w:styleId="Lienhypertexte">
    <w:name w:val="Hyperlink"/>
    <w:basedOn w:val="Policepardfaut"/>
    <w:uiPriority w:val="99"/>
    <w:unhideWhenUsed/>
    <w:rsid w:val="0048232D"/>
    <w:rPr>
      <w:color w:val="0000FF" w:themeColor="hyperlink"/>
      <w:u w:val="single"/>
    </w:rPr>
  </w:style>
  <w:style w:type="character" w:styleId="Lienhypertextesuivi">
    <w:name w:val="FollowedHyperlink"/>
    <w:basedOn w:val="Policepardfaut"/>
    <w:uiPriority w:val="99"/>
    <w:semiHidden/>
    <w:unhideWhenUsed/>
    <w:rsid w:val="00E506AA"/>
    <w:rPr>
      <w:color w:val="800080" w:themeColor="followedHyperlink"/>
      <w:u w:val="single"/>
    </w:rPr>
  </w:style>
  <w:style w:type="paragraph" w:styleId="Textedebulles">
    <w:name w:val="Balloon Text"/>
    <w:basedOn w:val="Normal"/>
    <w:link w:val="TextedebullesCar"/>
    <w:uiPriority w:val="99"/>
    <w:semiHidden/>
    <w:unhideWhenUsed/>
    <w:rsid w:val="008B244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B2444"/>
    <w:rPr>
      <w:rFonts w:ascii="Lucida Grande" w:hAnsi="Lucida Grande" w:cs="Lucida Grande"/>
      <w:sz w:val="18"/>
      <w:szCs w:val="18"/>
      <w:lang w:val="fr-CA"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CA"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05D91"/>
    <w:pPr>
      <w:ind w:left="720"/>
      <w:contextualSpacing/>
    </w:pPr>
  </w:style>
  <w:style w:type="character" w:styleId="Accentuation">
    <w:name w:val="Emphasis"/>
    <w:uiPriority w:val="20"/>
    <w:qFormat/>
    <w:rsid w:val="00FE30C7"/>
    <w:rPr>
      <w:i/>
    </w:rPr>
  </w:style>
  <w:style w:type="paragraph" w:styleId="Pieddepage">
    <w:name w:val="footer"/>
    <w:basedOn w:val="Normal"/>
    <w:link w:val="PieddepageCar"/>
    <w:uiPriority w:val="99"/>
    <w:unhideWhenUsed/>
    <w:rsid w:val="00D14C61"/>
    <w:pPr>
      <w:tabs>
        <w:tab w:val="center" w:pos="4536"/>
        <w:tab w:val="right" w:pos="9072"/>
      </w:tabs>
    </w:pPr>
  </w:style>
  <w:style w:type="character" w:customStyle="1" w:styleId="PieddepageCar">
    <w:name w:val="Pied de page Car"/>
    <w:basedOn w:val="Policepardfaut"/>
    <w:link w:val="Pieddepage"/>
    <w:uiPriority w:val="99"/>
    <w:rsid w:val="00D14C61"/>
    <w:rPr>
      <w:sz w:val="24"/>
      <w:szCs w:val="24"/>
      <w:lang w:val="fr-CA" w:eastAsia="fr-FR"/>
    </w:rPr>
  </w:style>
  <w:style w:type="character" w:styleId="Numrodepage">
    <w:name w:val="page number"/>
    <w:basedOn w:val="Policepardfaut"/>
    <w:uiPriority w:val="99"/>
    <w:semiHidden/>
    <w:unhideWhenUsed/>
    <w:rsid w:val="00D14C61"/>
  </w:style>
  <w:style w:type="paragraph" w:styleId="NormalWeb">
    <w:name w:val="Normal (Web)"/>
    <w:basedOn w:val="Normal"/>
    <w:uiPriority w:val="99"/>
    <w:semiHidden/>
    <w:unhideWhenUsed/>
    <w:rsid w:val="00207933"/>
    <w:pPr>
      <w:spacing w:before="100" w:beforeAutospacing="1" w:after="100" w:afterAutospacing="1"/>
    </w:pPr>
    <w:rPr>
      <w:rFonts w:ascii="Times" w:hAnsi="Times"/>
      <w:sz w:val="20"/>
      <w:szCs w:val="20"/>
      <w:lang w:val="en-GB"/>
    </w:rPr>
  </w:style>
  <w:style w:type="character" w:styleId="lev">
    <w:name w:val="Strong"/>
    <w:basedOn w:val="Policepardfaut"/>
    <w:uiPriority w:val="22"/>
    <w:qFormat/>
    <w:rsid w:val="00207933"/>
    <w:rPr>
      <w:b/>
      <w:bCs/>
    </w:rPr>
  </w:style>
  <w:style w:type="table" w:styleId="Grille">
    <w:name w:val="Table Grid"/>
    <w:basedOn w:val="TableauNormal"/>
    <w:uiPriority w:val="59"/>
    <w:rsid w:val="0052338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tedebasdepage">
    <w:name w:val="footnote text"/>
    <w:basedOn w:val="Normal"/>
    <w:link w:val="NotedebasdepageCar"/>
    <w:uiPriority w:val="99"/>
    <w:unhideWhenUsed/>
    <w:rsid w:val="00543E3C"/>
  </w:style>
  <w:style w:type="character" w:customStyle="1" w:styleId="NotedebasdepageCar">
    <w:name w:val="Note de bas de page Car"/>
    <w:basedOn w:val="Policepardfaut"/>
    <w:link w:val="Notedebasdepage"/>
    <w:uiPriority w:val="99"/>
    <w:rsid w:val="00543E3C"/>
    <w:rPr>
      <w:sz w:val="24"/>
      <w:szCs w:val="24"/>
      <w:lang w:val="fr-CA" w:eastAsia="fr-FR"/>
    </w:rPr>
  </w:style>
  <w:style w:type="character" w:styleId="Marquenotebasdepage">
    <w:name w:val="footnote reference"/>
    <w:basedOn w:val="Policepardfaut"/>
    <w:uiPriority w:val="99"/>
    <w:unhideWhenUsed/>
    <w:rsid w:val="00543E3C"/>
    <w:rPr>
      <w:vertAlign w:val="superscript"/>
    </w:rPr>
  </w:style>
  <w:style w:type="character" w:styleId="Lienhypertexte">
    <w:name w:val="Hyperlink"/>
    <w:basedOn w:val="Policepardfaut"/>
    <w:uiPriority w:val="99"/>
    <w:unhideWhenUsed/>
    <w:rsid w:val="0048232D"/>
    <w:rPr>
      <w:color w:val="0000FF" w:themeColor="hyperlink"/>
      <w:u w:val="single"/>
    </w:rPr>
  </w:style>
  <w:style w:type="character" w:styleId="Lienhypertextesuivi">
    <w:name w:val="FollowedHyperlink"/>
    <w:basedOn w:val="Policepardfaut"/>
    <w:uiPriority w:val="99"/>
    <w:semiHidden/>
    <w:unhideWhenUsed/>
    <w:rsid w:val="00E506AA"/>
    <w:rPr>
      <w:color w:val="800080" w:themeColor="followedHyperlink"/>
      <w:u w:val="single"/>
    </w:rPr>
  </w:style>
  <w:style w:type="paragraph" w:styleId="Textedebulles">
    <w:name w:val="Balloon Text"/>
    <w:basedOn w:val="Normal"/>
    <w:link w:val="TextedebullesCar"/>
    <w:uiPriority w:val="99"/>
    <w:semiHidden/>
    <w:unhideWhenUsed/>
    <w:rsid w:val="008B244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8B2444"/>
    <w:rPr>
      <w:rFonts w:ascii="Lucida Grande" w:hAnsi="Lucida Grande" w:cs="Lucida Grande"/>
      <w:sz w:val="18"/>
      <w:szCs w:val="18"/>
      <w:lang w:val="fr-CA"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0923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em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image" Target="media/image2.emf"/><Relationship Id="rId10" Type="http://schemas.openxmlformats.org/officeDocument/2006/relationships/image" Target="media/image3.em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TotalTime>
  <Pages>10</Pages>
  <Words>1666</Words>
  <Characters>9168</Characters>
  <Application>Microsoft Macintosh Word</Application>
  <DocSecurity>0</DocSecurity>
  <Lines>76</Lines>
  <Paragraphs>21</Paragraphs>
  <ScaleCrop>false</ScaleCrop>
  <Company/>
  <LinksUpToDate>false</LinksUpToDate>
  <CharactersWithSpaces>10813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Imac</cp:lastModifiedBy>
  <cp:revision>65</cp:revision>
  <cp:lastPrinted>2013-04-09T18:45:00Z</cp:lastPrinted>
  <dcterms:created xsi:type="dcterms:W3CDTF">2013-11-28T15:49:00Z</dcterms:created>
  <dcterms:modified xsi:type="dcterms:W3CDTF">2013-11-28T18:35:00Z</dcterms:modified>
</cp:coreProperties>
</file>